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Press release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congatec presents new COM Express Compact module</w:t>
      </w:r>
    </w:p>
    <w:p w:rsidR="00000000" w:rsidDel="00000000" w:rsidP="00000000" w:rsidRDefault="00000000" w:rsidRPr="00000000" w14:paraId="00000005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Unrivaled </w:t>
      </w:r>
      <w:r w:rsidDel="00000000" w:rsidR="00000000" w:rsidRPr="00000000">
        <w:rPr>
          <w:b w:val="1"/>
          <w:sz w:val="36"/>
          <w:szCs w:val="36"/>
          <w:rtl w:val="0"/>
        </w:rPr>
        <w:t xml:space="preserve">AI performance 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for COMs with Intel Core Ultra processors</w:t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36"/>
          <w:szCs w:val="36"/>
        </w:rPr>
      </w:pPr>
      <w:r w:rsidDel="00000000" w:rsidR="00000000" w:rsidRPr="00000000">
        <w:rPr/>
        <w:drawing>
          <wp:inline distB="114300" distT="114300" distL="114300" distR="114300">
            <wp:extent cx="5760410" cy="3835400"/>
            <wp:effectExtent b="0" l="0" r="0" t="0"/>
            <wp:docPr id="104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383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Deggendorf, Germany, March 11, 2025 </w:t>
      </w:r>
      <w:r w:rsidDel="00000000" w:rsidR="00000000" w:rsidRPr="00000000">
        <w:rPr>
          <w:rtl w:val="0"/>
        </w:rPr>
        <w:t xml:space="preserve">* * * congatec – a leading provider of embedded and edge computing technology – boosts AI performance for medical, robotics, industrial, retail, and gaming applications, delivering up to 99 TOPS (Tera Operations per Second). This exceptional AI performance is driven by the new conga-TC750 Computer-on-Module (COM) in the COM Express Compact Type 6 form factor, which is powered by Intel Core Ultra Series 2 processors (codenamed Arrow Lake) with Lion Cove and Skymont P- and E-cores, providing up to 16 cores and 22 threads alongside an integrated GPU and NPU.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Developers already working with COM Express Compact platforms (95 mm x 95 mm), such as the conga-TC700, will benefit particularly from the quick upgrade path to unprecedented AI performance. Applications with high-performance requirements – especially in graphics and AI – can take advantage of the enhanced x86 and AI capabilities offered by Intel’s new System-on-Chip (SoC) with minimal development effort and a faster time-to-market.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The SoC achieves 99 TOPS by combining the exceptional AI performance of the integrated Intel Xe-LPG+ graphics processor (iGPU) – optimized for parallel, high-throughput workloads and delivering up to 77 TOPS (compared to its predecessor Meteor Lake’s 18 TOPS) – with a highly energy-efficient NPU providing up to 13 TOPS, and a CPU contributing 9 TOPS for fast response times. The new SoC also features Intel’s latest Xe-LPG+ graphics engine. With its standardized module concept enabling simple upgrades and high scalability, the conga-TC750 is an excellent choice for high-performance IPCs and thin clients, allowing them to stay up to date with easy module replacements. Additionally, AI-supported medical imaging, test and measurement, and graphics-based applications benefit greatly from the new module’s significant performance.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“Our new conga-TC750 COM Express Compact modules with Intel Core Ultra Series 2 processors are ideal for applications that always require the latest performance and follow innovation cycles of three to five years. The module concept excels in these scenarios, providing an application-ready computing core that helps developers save time and costs during design-in, scale easily, and achieve a shorter time-to-market. By replacing modules while retaining the carrier board, developers avoid the expense and effort of a full system replacement or redesign,” explains Maximilian Gerstl, Product Manager at congatec.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feature set in detail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The new conga-TC750 COM Express Compact modules are powered by Intel Core Ultra Series 2 processors with a long-term availability of five years. This makes them ideal for high-performance applications requiring upgrades every three to five years.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Beyond their impressive 99 TOPS AI performance, the conga-TC750 modules also offer up to 128 GB DDR5 memory with speeds of up to 6400 MT/s and in-band ECC. An optional NVMe x4 SSD provides up to 1 TB of non-volatile storage. To meet future connectivity demands, the modules feature a 2.5 GbE port via the Intel i226 Ethernet controller with TSN support. They also provide comprehensive peripheral connectivity, including up to 16 PCIe Gen4/5 lanes, two USB4, four USB3.2 Gen2, and eight USB2.0 ports, as well as SATA, UART, GPIOs, SPI, LPC, and I2C. Supported operating systems include Microsoft Windows 11, Windows 10/11 IoT Enterprise, ctrlX OS, Ubuntu, Linux, and Yocto. The conga-TC750 also enables system consolidation through the integrated Hypervisor-on-Module from Real-Time Systems. 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Additionally, the conga-TC750 is available as an application-ready aReady.COM module and can, for instance, be pre-configured with licensed ctrlX OS from Bosch Rexroth and Ubuntu Pro. The aReady.VT option allows developers to consolidate multiple workloads, such as real-time control, HMI, AI, and IoT gateway functions, on a single module. For IIoT connectivity, congatec offers its aReady.IOT software building blocks, which enable data exchange, maintenance/management of the module, carrier, and peripherals, as well as cloud connectivity upon request. To further simplify application development, congatec provides an extensive ecosystem that includes evaluation and production-ready carrier boards, customized cooling solutions, comprehensive documentation, design-in services, and high-speed signal integrity measurements.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The new conga-TC750 COM Express Compact modules are available in the following versions: </w:t>
      </w:r>
    </w:p>
    <w:tbl>
      <w:tblPr>
        <w:tblStyle w:val="Table1"/>
        <w:tblW w:w="86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992"/>
        <w:gridCol w:w="1701"/>
        <w:gridCol w:w="1134"/>
        <w:gridCol w:w="1701"/>
        <w:gridCol w:w="1559"/>
        <w:tblGridChange w:id="0">
          <w:tblGrid>
            <w:gridCol w:w="1555"/>
            <w:gridCol w:w="992"/>
            <w:gridCol w:w="1701"/>
            <w:gridCol w:w="1134"/>
            <w:gridCol w:w="1701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Base TDP [W]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Cores/ (P, E + LP-E)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Threads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Base clock / Turbo [GHz]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Execution Units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conga-TC750/ultra9-285H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 (6 + 8 + 2)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P-cores: 2.9 / 5.4</w:t>
            </w:r>
          </w:p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E-cores: 2.7 / 4.5</w:t>
            </w:r>
          </w:p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LP E-cores: 1.0 / 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conga-TC750/ultra7-255H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 (6 + 8 + 2)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P-cores: 2.0 / 5.1</w:t>
            </w:r>
          </w:p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E-cores: 1.5 / 4.4</w:t>
            </w:r>
          </w:p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LP E-cores: 0.7 / 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128</w:t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conga-TC750/ultra7-255U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 (2 + 8 + 2)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P-cores: 2.0 / 5.2</w:t>
            </w:r>
          </w:p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E-cores: 1.7 / 4.2</w:t>
            </w:r>
          </w:p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LP E-cores: 0.7 / 2.4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conga-TC750/ultra5-225H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 (4 + 8 + 2)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P-cores: 1.7 / 4.9</w:t>
            </w:r>
          </w:p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E-cores: 1.3 / 4.3</w:t>
            </w:r>
          </w:p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LP E-cores: 0.7 / 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conga-TC750/ultra5-225U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 (2 + 8 + 2)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P-cores: 1.5 / 4.8</w:t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E-cores: 1.3 / 3.8</w:t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LP E-cores: 0.7 / 2.4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64</w:t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Further information about the new conga-TC750 modules is available at: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https://www.congatec.com/en/products/com-express-type-6/conga-tc750/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For further information about the COM Express standard, see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https://www.congatec.com/en/technologies/com-express/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color w:val="000000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*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283"/>
        <w:rPr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About congatec </w:t>
      </w:r>
    </w:p>
    <w:p w:rsidR="00000000" w:rsidDel="00000000" w:rsidP="00000000" w:rsidRDefault="00000000" w:rsidRPr="00000000" w14:paraId="00000054">
      <w:pPr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br w:type="textWrapping"/>
      </w:r>
      <w:r w:rsidDel="00000000" w:rsidR="00000000" w:rsidRPr="00000000">
        <w:rPr>
          <w:sz w:val="16"/>
          <w:szCs w:val="16"/>
          <w:rtl w:val="0"/>
        </w:rPr>
        <w:t xml:space="preserve">congatec is a leading global provider of high-performance hardware and software building blocks for embedded and edge computing solutions based on Computer-on-Modules (COMs). These advanced computer modules drive systems and devices across industries such as industrial automation, medical technology, robotics, telecommunications, and more. congatec's high-performance aReady. ecosystems simplify and accelerate the solution development, from COM to cloud. This application-ready approach combines COMs with services and customizable technologies that enable cutting-edge advancements in system consolidation, IoT, security, and artificial intelligence. Supported by its majority shareholder, DBAG Fund VIII – a German mid-market fund focused on driving growth for industrial enterprises – congatec has the financial backing and M&amp;A expertise to capitalize on expanding market opportunities. For more information, visit</w:t>
      </w:r>
      <w:hyperlink r:id="rId10">
        <w:r w:rsidDel="00000000" w:rsidR="00000000" w:rsidRPr="00000000">
          <w:rPr>
            <w:sz w:val="16"/>
            <w:szCs w:val="16"/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www.congatec.com</w:t>
        </w:r>
      </w:hyperlink>
      <w:r w:rsidDel="00000000" w:rsidR="00000000" w:rsidRPr="00000000">
        <w:rPr>
          <w:sz w:val="16"/>
          <w:szCs w:val="16"/>
          <w:rtl w:val="0"/>
        </w:rPr>
        <w:t xml:space="preserve"> or follow us on</w:t>
      </w:r>
      <w:hyperlink r:id="rId12">
        <w:r w:rsidDel="00000000" w:rsidR="00000000" w:rsidRPr="00000000">
          <w:rPr>
            <w:sz w:val="16"/>
            <w:szCs w:val="16"/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LinkedIn</w:t>
        </w:r>
      </w:hyperlink>
      <w:r w:rsidDel="00000000" w:rsidR="00000000" w:rsidRPr="00000000">
        <w:rPr>
          <w:sz w:val="16"/>
          <w:szCs w:val="16"/>
          <w:rtl w:val="0"/>
        </w:rPr>
        <w:t xml:space="preserve"> and</w:t>
      </w:r>
      <w:hyperlink r:id="rId14">
        <w:r w:rsidDel="00000000" w:rsidR="00000000" w:rsidRPr="00000000">
          <w:rPr>
            <w:sz w:val="16"/>
            <w:szCs w:val="16"/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YouTube</w:t>
        </w:r>
      </w:hyperlink>
      <w:r w:rsidDel="00000000" w:rsidR="00000000" w:rsidRPr="00000000">
        <w:rPr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5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right="280"/>
        <w:rPr>
          <w:b w:val="1"/>
        </w:rPr>
      </w:pPr>
      <w:r w:rsidDel="00000000" w:rsidR="00000000" w:rsidRPr="00000000">
        <w:rPr>
          <w:b w:val="1"/>
          <w:rtl w:val="0"/>
        </w:rPr>
        <w:t xml:space="preserve">Reader enquiries:</w:t>
      </w:r>
    </w:p>
    <w:p w:rsidR="00000000" w:rsidDel="00000000" w:rsidP="00000000" w:rsidRDefault="00000000" w:rsidRPr="00000000" w14:paraId="00000057">
      <w:pPr>
        <w:ind w:right="280"/>
        <w:rPr/>
      </w:pPr>
      <w:r w:rsidDel="00000000" w:rsidR="00000000" w:rsidRPr="00000000">
        <w:rPr>
          <w:rtl w:val="0"/>
        </w:rPr>
        <w:t xml:space="preserve">congatec</w:t>
      </w:r>
    </w:p>
    <w:p w:rsidR="00000000" w:rsidDel="00000000" w:rsidP="00000000" w:rsidRDefault="00000000" w:rsidRPr="00000000" w14:paraId="00000058">
      <w:pPr>
        <w:ind w:right="280"/>
        <w:rPr/>
      </w:pPr>
      <w:r w:rsidDel="00000000" w:rsidR="00000000" w:rsidRPr="00000000">
        <w:rPr>
          <w:rtl w:val="0"/>
        </w:rPr>
        <w:t xml:space="preserve">Phone: +49-991-2700-0</w:t>
      </w:r>
    </w:p>
    <w:p w:rsidR="00000000" w:rsidDel="00000000" w:rsidP="00000000" w:rsidRDefault="00000000" w:rsidRPr="00000000" w14:paraId="00000059">
      <w:pPr>
        <w:rPr>
          <w:color w:val="0000ff"/>
          <w:u w:val="single"/>
        </w:rPr>
      </w:pPr>
      <w:r w:rsidDel="00000000" w:rsidR="00000000" w:rsidRPr="00000000">
        <w:rPr>
          <w:color w:val="0000ff"/>
          <w:u w:val="single"/>
          <w:rtl w:val="0"/>
        </w:rPr>
        <w:t xml:space="preserve">info@congatec.com </w:t>
      </w:r>
    </w:p>
    <w:p w:rsidR="00000000" w:rsidDel="00000000" w:rsidP="00000000" w:rsidRDefault="00000000" w:rsidRPr="00000000" w14:paraId="0000005A">
      <w:pPr>
        <w:ind w:right="280"/>
        <w:rPr>
          <w:color w:val="1155cc"/>
          <w:u w:val="singl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www.congatec.com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right="28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right="280"/>
        <w:rPr>
          <w:b w:val="1"/>
        </w:rPr>
      </w:pPr>
      <w:r w:rsidDel="00000000" w:rsidR="00000000" w:rsidRPr="00000000">
        <w:rPr>
          <w:b w:val="1"/>
          <w:rtl w:val="0"/>
        </w:rPr>
        <w:t xml:space="preserve">Press contact congatec:</w:t>
      </w:r>
    </w:p>
    <w:p w:rsidR="00000000" w:rsidDel="00000000" w:rsidP="00000000" w:rsidRDefault="00000000" w:rsidRPr="00000000" w14:paraId="0000005D">
      <w:pPr>
        <w:ind w:right="280"/>
        <w:rPr/>
      </w:pPr>
      <w:r w:rsidDel="00000000" w:rsidR="00000000" w:rsidRPr="00000000">
        <w:rPr>
          <w:rtl w:val="0"/>
        </w:rPr>
        <w:t xml:space="preserve">congatec</w:t>
      </w:r>
    </w:p>
    <w:p w:rsidR="00000000" w:rsidDel="00000000" w:rsidP="00000000" w:rsidRDefault="00000000" w:rsidRPr="00000000" w14:paraId="0000005E">
      <w:pPr>
        <w:ind w:right="280"/>
        <w:rPr/>
      </w:pPr>
      <w:r w:rsidDel="00000000" w:rsidR="00000000" w:rsidRPr="00000000">
        <w:rPr>
          <w:rtl w:val="0"/>
        </w:rPr>
        <w:t xml:space="preserve">Christof Wilde</w:t>
      </w:r>
    </w:p>
    <w:p w:rsidR="00000000" w:rsidDel="00000000" w:rsidP="00000000" w:rsidRDefault="00000000" w:rsidRPr="00000000" w14:paraId="0000005F">
      <w:pPr>
        <w:ind w:right="280"/>
        <w:rPr/>
      </w:pPr>
      <w:r w:rsidDel="00000000" w:rsidR="00000000" w:rsidRPr="00000000">
        <w:rPr>
          <w:rtl w:val="0"/>
        </w:rPr>
        <w:t xml:space="preserve">Phone:  +49-991-2700-2822</w:t>
      </w:r>
    </w:p>
    <w:p w:rsidR="00000000" w:rsidDel="00000000" w:rsidP="00000000" w:rsidRDefault="00000000" w:rsidRPr="00000000" w14:paraId="00000060">
      <w:pPr>
        <w:ind w:right="280"/>
        <w:rPr>
          <w:color w:val="0000ff"/>
          <w:u w:val="singl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christof.wilde@congatec.com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b w:val="1"/>
          <w:rtl w:val="0"/>
        </w:rPr>
        <w:t xml:space="preserve">Press contact agency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Publitek GmbH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Julia Wolff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+49 (0)4181 968098-18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julia.wolff@publitek.com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Bremer Straße 6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21244 Buchholz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b w:val="1"/>
          <w:rtl w:val="0"/>
        </w:rPr>
        <w:t xml:space="preserve">Please send print publications to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Publitek GmbH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Joke Klein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Bremer Straße 6</w:t>
      </w:r>
    </w:p>
    <w:p w:rsidR="00000000" w:rsidDel="00000000" w:rsidP="00000000" w:rsidRDefault="00000000" w:rsidRPr="00000000" w14:paraId="0000006F">
      <w:pPr>
        <w:rPr>
          <w:sz w:val="16"/>
          <w:szCs w:val="16"/>
        </w:rPr>
      </w:pPr>
      <w:r w:rsidDel="00000000" w:rsidR="00000000" w:rsidRPr="00000000">
        <w:rPr>
          <w:rtl w:val="0"/>
        </w:rPr>
        <w:t xml:space="preserve">21244 Buchholz</w:t>
      </w: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footerReference r:id="rId20" w:type="default"/>
      <w:footerReference r:id="rId21" w:type="first"/>
      <w:footerReference r:id="rId22" w:type="even"/>
      <w:pgSz w:h="16838" w:w="11906" w:orient="portrait"/>
      <w:pgMar w:bottom="1134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3"/>
      <w:tblW w:w="9060.0" w:type="dxa"/>
      <w:jc w:val="left"/>
      <w:tblLayout w:type="fixed"/>
      <w:tblLook w:val="0600"/>
    </w:tblPr>
    <w:tblGrid>
      <w:gridCol w:w="3020"/>
      <w:gridCol w:w="3020"/>
      <w:gridCol w:w="3020"/>
      <w:tblGridChange w:id="0">
        <w:tblGrid>
          <w:gridCol w:w="3020"/>
          <w:gridCol w:w="3020"/>
          <w:gridCol w:w="3020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8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ind w:left="-115" w:firstLine="0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ind w:right="-115"/>
            <w:jc w:val="righ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0</wp:posOffset>
              </wp:positionV>
              <wp:extent cx="481965" cy="481965"/>
              <wp:effectExtent b="0" l="0" r="0" t="0"/>
              <wp:wrapNone/>
              <wp:docPr descr="congatec confidential information | This information is confidential and solely for the use of the recipient or entity and may not be reproduced or circulated without congatec prior written consent" id="104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anchorCtr="0" anchor="b" bIns="190500" lIns="25400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0</wp:posOffset>
              </wp:positionV>
              <wp:extent cx="481965" cy="481965"/>
              <wp:effectExtent b="0" l="0" r="0" t="0"/>
              <wp:wrapNone/>
              <wp:docPr descr="congatec confidential information | This information is confidential and solely for the use of the recipient or entity and may not be reproduced or circulated without congatec prior written consent" id="1041" name="image2.png"/>
              <a:graphic>
                <a:graphicData uri="http://schemas.openxmlformats.org/drawingml/2006/picture">
                  <pic:pic>
                    <pic:nvPicPr>
                      <pic:cNvPr descr="congatec confidential information | This information is confidential and solely for the use of the recipient or entity and may not be reproduced or circulated without congatec prior written consent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1965" cy="481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4048125</wp:posOffset>
          </wp:positionH>
          <wp:positionV relativeFrom="paragraph">
            <wp:posOffset>114300</wp:posOffset>
          </wp:positionV>
          <wp:extent cx="1866583" cy="802540"/>
          <wp:effectExtent b="0" l="0" r="0" t="0"/>
          <wp:wrapNone/>
          <wp:docPr id="104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583" cy="802540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"/>
      <w:tblW w:w="9060.0" w:type="dxa"/>
      <w:jc w:val="left"/>
      <w:tblLayout w:type="fixed"/>
      <w:tblLook w:val="0600"/>
    </w:tblPr>
    <w:tblGrid>
      <w:gridCol w:w="3020"/>
      <w:gridCol w:w="3020"/>
      <w:gridCol w:w="3020"/>
      <w:tblGridChange w:id="0">
        <w:tblGrid>
          <w:gridCol w:w="3020"/>
          <w:gridCol w:w="3020"/>
          <w:gridCol w:w="3020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7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ind w:left="-115" w:firstLine="0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ind w:right="-115"/>
            <w:jc w:val="righ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76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76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750178"/>
    <w:pPr>
      <w:suppressAutoHyphens w:val="1"/>
    </w:pPr>
    <w:rPr>
      <w:rFonts w:cs="Times New Roman"/>
      <w:kern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 w:val="1"/>
    <w:rsid w:val="00367F0C"/>
    <w:pPr>
      <w:spacing w:line="276" w:lineRule="auto"/>
      <w:outlineLvl w:val="0"/>
    </w:pPr>
    <w:rPr>
      <w:b w:val="1"/>
      <w:bCs w:val="1"/>
      <w:noProof w:val="1"/>
      <w:sz w:val="36"/>
      <w:szCs w:val="36"/>
      <w:lang w:eastAsia="de-DE"/>
    </w:rPr>
  </w:style>
  <w:style w:type="paragraph" w:styleId="berschrift2">
    <w:name w:val="heading 2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</w:rPr>
  </w:style>
  <w:style w:type="paragraph" w:styleId="berschrift5">
    <w:name w:val="heading 5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Cs w:val="22"/>
    </w:rPr>
  </w:style>
  <w:style w:type="paragraph" w:styleId="berschrift6">
    <w:name w:val="heading 6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rd"/>
    <w:next w:val="Standar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enraster">
    <w:name w:val="Table Grid"/>
    <w:basedOn w:val="NormaleTabelle"/>
    <w:uiPriority w:val="39"/>
    <w:rsid w:val="009E3CEF"/>
    <w:pPr>
      <w:spacing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yperlink">
    <w:name w:val="Hyperlink"/>
    <w:rsid w:val="00B54193"/>
    <w:rPr>
      <w:color w:val="0000ff"/>
      <w:u w:val="single"/>
    </w:rPr>
  </w:style>
  <w:style w:type="paragraph" w:styleId="Standard1" w:customStyle="1">
    <w:name w:val="Standard1"/>
    <w:uiPriority w:val="99"/>
    <w:rsid w:val="00467E79"/>
    <w:pPr>
      <w:suppressAutoHyphens w:val="1"/>
      <w:spacing w:line="240" w:lineRule="auto"/>
    </w:pPr>
    <w:rPr>
      <w:rFonts w:ascii="Times New Roman" w:cs="Times New Roman" w:hAnsi="Times New Roman"/>
      <w:kern w:val="1"/>
      <w:sz w:val="24"/>
      <w:szCs w:val="24"/>
      <w:lang w:eastAsia="ar-SA"/>
    </w:rPr>
  </w:style>
  <w:style w:type="character" w:styleId="Kommentarzeichen1" w:customStyle="1">
    <w:name w:val="Kommentarzeichen1"/>
    <w:rsid w:val="006B627C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6B627C"/>
    <w:pPr>
      <w:spacing w:line="240" w:lineRule="auto"/>
    </w:pPr>
    <w:rPr>
      <w:rFonts w:ascii="Tahoma" w:cs="Tahoma" w:hAnsi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6B627C"/>
    <w:rPr>
      <w:rFonts w:ascii="Tahoma" w:cs="Tahoma" w:hAnsi="Tahoma"/>
      <w:kern w:val="24"/>
      <w:sz w:val="16"/>
      <w:szCs w:val="16"/>
      <w:lang w:eastAsia="ar-SA"/>
    </w:rPr>
  </w:style>
  <w:style w:type="character" w:styleId="Kommentarzeichen">
    <w:name w:val="annotation reference"/>
    <w:basedOn w:val="Absatz-Standardschriftart"/>
    <w:uiPriority w:val="99"/>
    <w:semiHidden w:val="1"/>
    <w:unhideWhenUsed w:val="1"/>
    <w:rsid w:val="009A6F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 w:val="1"/>
    <w:rsid w:val="009A6FD3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9A6FD3"/>
    <w:rPr>
      <w:rFonts w:ascii="Arial" w:cs="Times New Roman" w:hAnsi="Arial"/>
      <w:kern w:val="24"/>
      <w:sz w:val="20"/>
      <w:szCs w:val="20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 w:val="1"/>
    <w:unhideWhenUsed w:val="1"/>
    <w:rsid w:val="009A6FD3"/>
    <w:rPr>
      <w:b w:val="1"/>
      <w:bCs w:val="1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 w:val="1"/>
    <w:rsid w:val="009A6FD3"/>
    <w:rPr>
      <w:rFonts w:ascii="Arial" w:cs="Times New Roman" w:hAnsi="Arial"/>
      <w:b w:val="1"/>
      <w:bCs w:val="1"/>
      <w:kern w:val="24"/>
      <w:sz w:val="20"/>
      <w:szCs w:val="20"/>
      <w:lang w:eastAsia="ar-SA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367F0C"/>
    <w:rPr>
      <w:rFonts w:ascii="Arial" w:cs="Times New Roman" w:hAnsi="Arial"/>
      <w:b w:val="1"/>
      <w:bCs w:val="1"/>
      <w:noProof w:val="1"/>
      <w:kern w:val="24"/>
      <w:sz w:val="36"/>
      <w:szCs w:val="36"/>
      <w:lang w:eastAsia="de-DE"/>
    </w:rPr>
  </w:style>
  <w:style w:type="paragraph" w:styleId="Kopfzeile">
    <w:name w:val="header"/>
    <w:basedOn w:val="Standard"/>
    <w:link w:val="KopfzeileZchn"/>
    <w:uiPriority w:val="99"/>
    <w:unhideWhenUsed w:val="1"/>
    <w:rsid w:val="00680509"/>
    <w:pPr>
      <w:tabs>
        <w:tab w:val="center" w:pos="4536"/>
        <w:tab w:val="right" w:pos="9072"/>
      </w:tabs>
      <w:spacing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680509"/>
    <w:rPr>
      <w:rFonts w:ascii="Arial" w:cs="Times New Roman" w:hAnsi="Arial"/>
      <w:kern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 w:val="1"/>
    <w:rsid w:val="00680509"/>
    <w:pPr>
      <w:tabs>
        <w:tab w:val="center" w:pos="4536"/>
        <w:tab w:val="right" w:pos="9072"/>
      </w:tabs>
      <w:spacing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680509"/>
    <w:rPr>
      <w:rFonts w:ascii="Arial" w:cs="Times New Roman" w:hAnsi="Arial"/>
      <w:kern w:val="24"/>
      <w:szCs w:val="24"/>
      <w:lang w:eastAsia="ar-SA"/>
    </w:rPr>
  </w:style>
  <w:style w:type="character" w:styleId="NichtaufgelsteErwhnung1" w:customStyle="1">
    <w:name w:val="Nicht aufgelöste Erwähnung1"/>
    <w:basedOn w:val="Absatz-Standardschriftart"/>
    <w:uiPriority w:val="99"/>
    <w:semiHidden w:val="1"/>
    <w:unhideWhenUsed w:val="1"/>
    <w:rsid w:val="00835D39"/>
    <w:rPr>
      <w:color w:val="605e5c"/>
      <w:shd w:color="auto" w:fill="e1dfdd" w:val="clear"/>
    </w:rPr>
  </w:style>
  <w:style w:type="paragraph" w:styleId="paragraph" w:customStyle="1">
    <w:name w:val="paragraph"/>
    <w:basedOn w:val="Standard"/>
    <w:rsid w:val="00DD6073"/>
    <w:pPr>
      <w:suppressAutoHyphens w:val="0"/>
      <w:spacing w:after="100" w:afterAutospacing="1" w:before="100" w:beforeAutospacing="1" w:line="240" w:lineRule="auto"/>
    </w:pPr>
    <w:rPr>
      <w:rFonts w:ascii="Times New Roman" w:hAnsi="Times New Roman"/>
      <w:kern w:val="0"/>
      <w:sz w:val="24"/>
      <w:lang w:eastAsia="zh-TW"/>
    </w:rPr>
  </w:style>
  <w:style w:type="character" w:styleId="normaltextrun" w:customStyle="1">
    <w:name w:val="normaltextrun"/>
    <w:basedOn w:val="Absatz-Standardschriftart"/>
    <w:rsid w:val="00DD6073"/>
  </w:style>
  <w:style w:type="character" w:styleId="eop" w:customStyle="1">
    <w:name w:val="eop"/>
    <w:basedOn w:val="Absatz-Standardschriftart"/>
    <w:rsid w:val="00DD6073"/>
  </w:style>
  <w:style w:type="paragraph" w:styleId="StandardWeb">
    <w:name w:val="Normal (Web)"/>
    <w:basedOn w:val="Standard"/>
    <w:uiPriority w:val="99"/>
    <w:semiHidden w:val="1"/>
    <w:unhideWhenUsed w:val="1"/>
    <w:rsid w:val="00D602EB"/>
    <w:pPr>
      <w:suppressAutoHyphens w:val="0"/>
      <w:spacing w:after="100" w:afterAutospacing="1" w:before="100" w:beforeAutospacing="1" w:line="240" w:lineRule="auto"/>
    </w:pPr>
    <w:rPr>
      <w:rFonts w:ascii="Times New Roman" w:hAnsi="Times New Roman"/>
      <w:kern w:val="0"/>
      <w:sz w:val="24"/>
      <w:lang w:eastAsia="de-DE"/>
    </w:rPr>
  </w:style>
  <w:style w:type="paragraph" w:styleId="Untertitel">
    <w:name w:val="Subtitle"/>
    <w:basedOn w:val="Standard"/>
    <w:next w:val="Standard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erarbeitung">
    <w:name w:val="Revision"/>
    <w:hidden w:val="1"/>
    <w:uiPriority w:val="99"/>
    <w:semiHidden w:val="1"/>
    <w:rsid w:val="00B30A97"/>
    <w:pPr>
      <w:spacing w:line="240" w:lineRule="auto"/>
    </w:pPr>
    <w:rPr>
      <w:rFonts w:cs="Times New Roman"/>
      <w:kern w:val="24"/>
      <w:szCs w:val="24"/>
      <w:lang w:eastAsia="ar-SA"/>
    </w:rPr>
  </w:style>
  <w:style w:type="character" w:styleId="Erwhnung1" w:customStyle="1">
    <w:name w:val="Erwähnung1"/>
    <w:basedOn w:val="Absatz-Standardschriftart"/>
    <w:uiPriority w:val="99"/>
    <w:unhideWhenUsed w:val="1"/>
    <w:rsid w:val="009C2FFF"/>
    <w:rPr>
      <w:color w:val="2b579a"/>
      <w:shd w:color="auto" w:fill="e1dfdd" w:val="clear"/>
    </w:rPr>
  </w:style>
  <w:style w:type="table" w:styleId="TableNormal100" w:customStyle="1">
    <w:name w:val="Table Normal10"/>
    <w:rsid w:val="00323AC8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BesuchterLink">
    <w:name w:val="FollowedHyperlink"/>
    <w:basedOn w:val="Absatz-Standardschriftart"/>
    <w:uiPriority w:val="99"/>
    <w:semiHidden w:val="1"/>
    <w:unhideWhenUsed w:val="1"/>
    <w:rsid w:val="00667034"/>
    <w:rPr>
      <w:color w:val="800080" w:themeColor="followedHyperlink"/>
      <w:u w:val="single"/>
    </w:rPr>
  </w:style>
  <w:style w:type="table" w:styleId="a" w:customStyle="1">
    <w:basedOn w:val="NormalTable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NormalTable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NormalTable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cf01" w:customStyle="1">
    <w:name w:val="cf01"/>
    <w:basedOn w:val="Absatz-Standardschriftart"/>
    <w:rsid w:val="00E90C2C"/>
    <w:rPr>
      <w:rFonts w:ascii="Segoe UI" w:cs="Segoe UI" w:hAnsi="Segoe UI" w:hint="default"/>
      <w:sz w:val="18"/>
      <w:szCs w:val="18"/>
    </w:rPr>
  </w:style>
  <w:style w:type="paragraph" w:styleId="pf0" w:customStyle="1">
    <w:name w:val="pf0"/>
    <w:basedOn w:val="Standard"/>
    <w:rsid w:val="002A77C0"/>
    <w:pPr>
      <w:suppressAutoHyphens w:val="0"/>
      <w:spacing w:after="100" w:afterAutospacing="1" w:before="100" w:beforeAutospacing="1" w:line="240" w:lineRule="auto"/>
    </w:pPr>
    <w:rPr>
      <w:rFonts w:ascii="Times New Roman" w:eastAsia="Times New Roman" w:hAnsi="Times New Roman"/>
      <w:kern w:val="0"/>
      <w:sz w:val="24"/>
      <w:lang w:eastAsia="zh-TW"/>
    </w:rPr>
  </w:style>
  <w:style w:type="table" w:styleId="a4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NichtaufgelsteErwhnung">
    <w:name w:val="Unresolved Mention"/>
    <w:basedOn w:val="Absatz-Standardschriftart"/>
    <w:uiPriority w:val="99"/>
    <w:semiHidden w:val="1"/>
    <w:unhideWhenUsed w:val="1"/>
    <w:rsid w:val="006E4BEE"/>
    <w:rPr>
      <w:color w:val="605e5c"/>
      <w:shd w:color="auto" w:fill="e1dfdd" w:val="clear"/>
    </w:rPr>
  </w:style>
  <w:style w:type="table" w:styleId="a8" w:customStyle="1">
    <w:basedOn w:val="TableNormal1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Fett">
    <w:name w:val="Strong"/>
    <w:basedOn w:val="Absatz-Standardschriftart"/>
    <w:uiPriority w:val="22"/>
    <w:qFormat w:val="1"/>
    <w:rsid w:val="00EF3419"/>
    <w:rPr>
      <w:b w:val="1"/>
      <w:bCs w:val="1"/>
    </w:rPr>
  </w:style>
  <w:style w:type="table" w:styleId="ab" w:customStyle="1">
    <w:basedOn w:val="TableNormal0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0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0"/>
    <w:pPr>
      <w:spacing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Listenabsatz">
    <w:name w:val="List Paragraph"/>
    <w:basedOn w:val="Standard"/>
    <w:uiPriority w:val="72"/>
    <w:qFormat w:val="1"/>
    <w:rsid w:val="002C0D1E"/>
    <w:pPr>
      <w:suppressAutoHyphens w:val="0"/>
      <w:spacing w:line="240" w:lineRule="auto"/>
      <w:ind w:left="720"/>
      <w:contextualSpacing w:val="1"/>
    </w:pPr>
    <w:rPr>
      <w:rFonts w:cs="Arial" w:eastAsia="Times New Roman"/>
      <w:noProof w:val="1"/>
      <w:kern w:val="0"/>
      <w:sz w:val="24"/>
      <w:lang w:eastAsia="en-US" w:val="en-GB"/>
    </w:rPr>
  </w:style>
  <w:style w:type="table" w:styleId="a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NormaleTabelle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NormaleTabelle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NormaleTabelle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36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://www.congatec.com" TargetMode="External"/><Relationship Id="rId22" Type="http://schemas.openxmlformats.org/officeDocument/2006/relationships/footer" Target="footer3.xml"/><Relationship Id="rId10" Type="http://schemas.openxmlformats.org/officeDocument/2006/relationships/hyperlink" Target="http://www.congatec.com" TargetMode="External"/><Relationship Id="rId21" Type="http://schemas.openxmlformats.org/officeDocument/2006/relationships/footer" Target="footer2.xml"/><Relationship Id="rId13" Type="http://schemas.openxmlformats.org/officeDocument/2006/relationships/hyperlink" Target="https://www.linkedin.com/company/congatec/" TargetMode="External"/><Relationship Id="rId12" Type="http://schemas.openxmlformats.org/officeDocument/2006/relationships/hyperlink" Target="https://www.linkedin.com/company/congatec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ongatec.com/en/technologies/com-express/" TargetMode="External"/><Relationship Id="rId15" Type="http://schemas.openxmlformats.org/officeDocument/2006/relationships/hyperlink" Target="https://www.youtube.com/congatecAE" TargetMode="External"/><Relationship Id="rId14" Type="http://schemas.openxmlformats.org/officeDocument/2006/relationships/hyperlink" Target="https://www.youtube.com/congatecAE" TargetMode="External"/><Relationship Id="rId17" Type="http://schemas.openxmlformats.org/officeDocument/2006/relationships/hyperlink" Target="mailto:christof.wilde@congatec.com" TargetMode="External"/><Relationship Id="rId16" Type="http://schemas.openxmlformats.org/officeDocument/2006/relationships/hyperlink" Target="http://www.congatec.com" TargetMode="External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3.jpg"/><Relationship Id="rId8" Type="http://schemas.openxmlformats.org/officeDocument/2006/relationships/hyperlink" Target="https://www.congatec.com/en/products/com-express-type-6/conga-tc750/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HpVx51tGivILzTIqXb48YZJdEg==">CgMxLjA4AHIhMTFyMFVsSVR6cm9VaDM0c3p5R0dBLXFfclA2dU1YQXlJ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2025-02-27T08:50:00Z</dcterms:created>
  <dc:creator>Maria Scharnberg (DE)</dc:creator>
</cp:coreProperties>
</file>