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Comunicato stampa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4388567</wp:posOffset>
            </wp:positionH>
            <wp:positionV relativeFrom="paragraph">
              <wp:posOffset>-366932</wp:posOffset>
            </wp:positionV>
            <wp:extent cx="1145330" cy="901243"/>
            <wp:effectExtent b="0" l="0" r="0" t="0"/>
            <wp:wrapNone/>
            <wp:docPr descr="Congatec_Standardlogo_RGB.jpg" id="1042" name="image2.jpg"/>
            <a:graphic>
              <a:graphicData uri="http://schemas.openxmlformats.org/drawingml/2006/picture">
                <pic:pic>
                  <pic:nvPicPr>
                    <pic:cNvPr descr="Congatec_Standardlogo_RGB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330" cy="901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Aggiornamento dei moduli SMARC di congatec: maggiori prestazioni con i nuovi processori Core 3 di Intel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Migliori prestazioni grafiche e di elaborazione basate sull'AI per i nuovi moduli SMARC a basso consumo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5759450" cy="3841750"/>
            <wp:effectExtent b="0" l="0" r="0" t="0"/>
            <wp:docPr descr="Ein Bild, das Elektronik, Elektronisches Bauteil, Elektrisches Bauelement, passives Bauelement enthält.&#10;&#10;Automatisch generierte Beschreibung" id="1041" name="image1.jpg"/>
            <a:graphic>
              <a:graphicData uri="http://schemas.openxmlformats.org/drawingml/2006/picture">
                <pic:pic>
                  <pic:nvPicPr>
                    <pic:cNvPr descr="Ein Bild, das Elektronik, Elektronisches Bauteil, Elektrisches Bauelement, passives Bauelement enthält.&#10;&#10;Automatisch generierte Beschreibun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Deggendorf, Germania, 10 gennaio 2025 </w:t>
      </w:r>
      <w:r w:rsidDel="00000000" w:rsidR="00000000" w:rsidRPr="00000000">
        <w:rPr>
          <w:rtl w:val="0"/>
        </w:rPr>
        <w:t xml:space="preserve">* * * congatec — azienda leader nel settore della tecnologia di elaborazione per applicazioni embedded ed edge – ha annunciato l'aggiornamento dei moduli della serie conga-SA8 in formato SMARC. Questi moduli COM (Computer-on-Module) sono ora disponibili con i processori della linea Intel Core 3 di ultima generazione. Grazie all'utilizzo di queste CPU, che permette di ottenere un significativo aumento in termini di prestazioni, questi moduli SMARC di dimensioni pari a quelle di una carta di credito ed efficienti in termini energetici, si propongono come la soluzione ideale per le applicazioni edge (alla periferia della rete) che richiedono prestazioni elevate e il consolidamento dei sistemi a basso consumo.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L'adozione dei nuovi moduli conga-SA8 permette a tutte le applicazioni di elaborazione alla periferia della rete operanti nell'intervallo di temperatura compreso tra 0 e 60 °C di garantire prestazioni superiori e una migliore efficienza energetica. In grado di supportare frequenze di clock fino a 3,9 GHz, questi moduli sono caratterizzati da un TDP configurabile di 9 o 15 W. Come nelle precedenti versioni, i set di istruzioni per l'intelligenza artificiale (AI)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Intel AVX2 (Advanced Vector Extensions 2) e Intel VNNI (Vector Neural Network Instructions)</w:t>
      </w:r>
      <w:r w:rsidDel="00000000" w:rsidR="00000000" w:rsidRPr="00000000">
        <w:rPr>
          <w:rtl w:val="0"/>
        </w:rPr>
        <w:t xml:space="preserve"> assicurano un'elaborazione veloce delle inferenze generate dall'apprendimento profondo (DL – Deep Learning). Rispetto alle generazioni precedenti, le prestazioni relative all'elaborazioni grafica e al riconoscimento degli oggetti risultano nettamente superiori grazie alla GPU Intel integrata che supporta le inferenze con istruzioni intere a 8 bit (INT8) e un massimo di 32 EU (Execution Unit).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Gli utenti possono così trarre beneficio dall’accelerazione dei carichi di lavoro dell’AI che, abbinata al consolidamento del sistema, contribuisce ad aumentare in modo significativo la produttività e l’efficienza delle loro applicazioni.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“I moduli già pronti per la virtualizzazione con l'hypervisor integrato nel firmware - ha sottolineato  Florian Drittenthaler, Product Line Manager di congatec – semplificano il consolidamento di numerosi carichi di lavoro specifici di un'applicazione, ciascuno con il proprio sistema operativo, che girano in maniera isolata l'uno dall'altro sul modulo conga-SA8. Grazie alla disponibilità di un massimo di 8 core, un modulo SMARC a basso consumo è in grado di ospitare una molteplicità di differenti applicazioni che in precedenza richiedevano l'uso di più sistemi dedicati. Ciò permette agli utenti di ridurre sensibilmente il numero di dispositivi e realizzare soluzioni notevolmente più affidabili, economiche e sostenibili“.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Fra le applicazioni tipiche si possono annoverare sistemi a basso consumo quali POS (Point of Sale), PC industriali, sistemi periferici (edge) potenziati mediante l'intelligenza artificiale, AGV (Automated Guided Vehicle) e veicoli semi-autonomi utilizzati nel campo della logistica. Le numerose opzioni di comunicazione disponibili e l'elevata efficienza energetica rendono i nuovi moduli conga-SA8 ideali per l'uso in dispositivi medicali portatili e apparecchiature diagnostiche come gli analizzatori ematici.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Uno sguardo in profondità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moduli conga-SA8 in formato SMARC, disponibili con cinque differenti versioni di processore, sono equipaggiati con un massimo di 16 Gbyte di memoria LPDDR5 (con velocità di trasferimento di 4800 MT/s) con IBECC (In-Band ECC) per incrementare la sicurezza dei dati. Per quanto concerne la connessione in rete, sia orizzontale sia verticale, sono previste due porte 2,5 GbE con supporto TSN e un modulo wireless opzionale per Wi-Fi 6E e Bluetooth 5.3. La gamma di interfacce, che comprende 4 canali (lane) PCIe Gen3, 2 porte USB 3.2 Gen 2, 6 USB 2.0 e SATA Gen 3.2, oltre a I2C, UART, DP e 12 GPIO, assicura ampie risorse di connettività. I sistemi operativi supportati sono i seguenti: Windows 11 IoT Enterprise, Windows 10 IoT Enterprise 2021 LTSC e Linux LTS.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Il modulo conga-SA8 è anche disponibile nella versione aReady.COM, ovvero già pronto per l’applicazione. Esso può essere pre-configurato, per esempio, con il sistema operativo ctrlX di Bosch Rexroth pre-installato e completo di licenza, Ubuntu Pro e Hypervisor real-time per l'esecuzione di compiti quali HMI (interfaccia operatore), AI, scambio di dati tra applicazioni IIoT, firewall e funzioni di gestione/manutenzione. Oltre a ciò, grazie all'ampio e articolato ecosistema di congatec che comprende schede carrier per la valutazione dell’applicazione già pronte per la produzione, soluzioni di raffreddamento personalizzate, oltre a una vasta documentazione, servizi completi di integrazione (design-in) e test per la verifica dell’integrità dei segnali ad alta velocità, lo sviluppo delle applicazioni risulta notevolmente semplificato.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Maggiori informazioni sui moduli COM conga-SA8 in formato SMARC, sull’ecosistema di congatec e sui servizi di implementazione offerti dalla società sono disponibili all’indirizzo: </w:t>
      </w:r>
      <w:r w:rsidDel="00000000" w:rsidR="00000000" w:rsidRPr="00000000">
        <w:rPr>
          <w:color w:val="0000ff"/>
          <w:u w:val="single"/>
          <w:rtl w:val="0"/>
        </w:rPr>
        <w:t xml:space="preserve">https://www.congatec.com/en/products/smarc/conga-sa8/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Ulteriori informazioni relative allo standard SMARC sono disponibili all'indirizzo: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https://www.congatec.com/en/technologies/smarc/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Maggiori informazioni su aReady.COM sono disponibili all'indirizzo: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https://aready.com/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* *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Visitate congatec a embedded world 2025 nel Pad. 3 - Stand 241.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 invitiamo a prendere nota della conferenza stampa sulle ultime novità di congatec che si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terrà l'</w:t>
      </w:r>
      <w:r w:rsidDel="00000000" w:rsidR="00000000" w:rsidRPr="00000000">
        <w:rPr>
          <w:b w:val="1"/>
          <w:rtl w:val="0"/>
        </w:rPr>
        <w:t xml:space="preserve">11 marzo dalle 14:00 alle 14:30 presso la NCC est.</w:t>
      </w:r>
      <w:r w:rsidDel="00000000" w:rsidR="00000000" w:rsidRPr="00000000">
        <w:rPr>
          <w:rtl w:val="0"/>
        </w:rPr>
        <w:t xml:space="preserve"> Seguirà un invito formale.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Se siete interessati a partecipare alla conferenza stampa e/o a un incontro individuale presso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lo stand, contattateci direttamente.</w:t>
      </w:r>
    </w:p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* * *</w:t>
      </w:r>
    </w:p>
    <w:p w:rsidR="00000000" w:rsidDel="00000000" w:rsidP="00000000" w:rsidRDefault="00000000" w:rsidRPr="00000000" w14:paraId="00000027">
      <w:pPr>
        <w:spacing w:line="288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congatec</w:t>
      </w:r>
    </w:p>
    <w:p w:rsidR="00000000" w:rsidDel="00000000" w:rsidP="00000000" w:rsidRDefault="00000000" w:rsidRPr="00000000" w14:paraId="00000028">
      <w:pPr>
        <w:spacing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congatec è un fornitore leader a livello mondale di blocchi base hardware e software per lo sviluppo di soluzioni di elaborazione embedded ed edge basati sui moduli COM (Computer-on-Module). Questi avanzati moduli di elaborazione rappresentano il nucleo centrale di sistemi e dispositivi utilizzati in svariati settori quali automazione industriale, tecnologia medicale, robotica e telecomunicazioni, oltre che in numerosi altri mercati verticali. Gli ecosistemi a.Ready. ad alte prestazioni di congatec semplificano e accelerano lo sviluppo di soluzioni, dai moduli COM al cloud. Questo approccio di tipo “application-ready” abbina i moduli COM con servizi e tecnologie personalizzabili avanzate che consentono significativi miglioramenti nell'ambito del consolidamento dei sistemi, delle applicazioni IoT, della sicurezza e dell'intelligenza artificiale. Supportata dal suo azionista di maggioranza DBAG Fund VIII, fondo tedesco specializzato nel sostegno della crescita di imprese industriali - congatec  ha la solidità finanziaria e l'esperienza nelle operazioni di M&amp;A necessarie per sfruttare le opportunità che si prospettano in mercati in rapida espansione. Ulteriori informazioni sono disponibili sul sito Web all'indirizzo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1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sz w:val="18"/>
          <w:szCs w:val="18"/>
          <w:rtl w:val="0"/>
        </w:rPr>
        <w:t xml:space="preserve"> oppure attraverso </w:t>
      </w:r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LinkedIn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YouTube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Domande dei lettori:</w:t>
      </w:r>
    </w:p>
    <w:p w:rsidR="00000000" w:rsidDel="00000000" w:rsidP="00000000" w:rsidRDefault="00000000" w:rsidRPr="00000000" w14:paraId="0000002C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congatec</w:t>
      </w:r>
    </w:p>
    <w:p w:rsidR="00000000" w:rsidDel="00000000" w:rsidP="00000000" w:rsidRDefault="00000000" w:rsidRPr="00000000" w14:paraId="0000002D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Telefon: +49-991-2700-0</w:t>
      </w:r>
    </w:p>
    <w:p w:rsidR="00000000" w:rsidDel="00000000" w:rsidP="00000000" w:rsidRDefault="00000000" w:rsidRPr="00000000" w14:paraId="0000002E">
      <w:pPr>
        <w:spacing w:line="288" w:lineRule="auto"/>
        <w:rPr>
          <w:color w:val="0000ff"/>
          <w:sz w:val="23"/>
          <w:szCs w:val="23"/>
          <w:u w:val="single"/>
        </w:rPr>
      </w:pPr>
      <w:r w:rsidDel="00000000" w:rsidR="00000000" w:rsidRPr="00000000">
        <w:rPr>
          <w:color w:val="0000ff"/>
          <w:sz w:val="23"/>
          <w:szCs w:val="23"/>
          <w:u w:val="single"/>
          <w:rtl w:val="0"/>
        </w:rPr>
        <w:t xml:space="preserve">info@congatec.com </w:t>
      </w:r>
    </w:p>
    <w:p w:rsidR="00000000" w:rsidDel="00000000" w:rsidP="00000000" w:rsidRDefault="00000000" w:rsidRPr="00000000" w14:paraId="0000002F">
      <w:pPr>
        <w:spacing w:line="288" w:lineRule="auto"/>
        <w:rPr>
          <w:color w:val="0000ff"/>
          <w:sz w:val="23"/>
          <w:szCs w:val="23"/>
          <w:u w:val="single"/>
        </w:rPr>
      </w:pPr>
      <w:hyperlink r:id="rId12">
        <w:r w:rsidDel="00000000" w:rsidR="00000000" w:rsidRPr="00000000">
          <w:rPr>
            <w:color w:val="0000ff"/>
            <w:sz w:val="23"/>
            <w:szCs w:val="23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Contatto Stampa congatec:</w:t>
      </w:r>
    </w:p>
    <w:p w:rsidR="00000000" w:rsidDel="00000000" w:rsidP="00000000" w:rsidRDefault="00000000" w:rsidRPr="00000000" w14:paraId="00000033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congatec</w:t>
      </w:r>
    </w:p>
    <w:p w:rsidR="00000000" w:rsidDel="00000000" w:rsidP="00000000" w:rsidRDefault="00000000" w:rsidRPr="00000000" w14:paraId="00000034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Christof Wilde</w:t>
      </w:r>
    </w:p>
    <w:p w:rsidR="00000000" w:rsidDel="00000000" w:rsidP="00000000" w:rsidRDefault="00000000" w:rsidRPr="00000000" w14:paraId="00000035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Telefon: +49-991-2700-2822</w:t>
      </w:r>
    </w:p>
    <w:p w:rsidR="00000000" w:rsidDel="00000000" w:rsidP="00000000" w:rsidRDefault="00000000" w:rsidRPr="00000000" w14:paraId="00000036">
      <w:pPr>
        <w:spacing w:line="288" w:lineRule="auto"/>
        <w:rPr>
          <w:color w:val="0000ff"/>
          <w:sz w:val="23"/>
          <w:szCs w:val="23"/>
          <w:u w:val="single"/>
        </w:rPr>
      </w:pPr>
      <w:r w:rsidDel="00000000" w:rsidR="00000000" w:rsidRPr="00000000">
        <w:rPr>
          <w:color w:val="0000ff"/>
          <w:sz w:val="23"/>
          <w:szCs w:val="23"/>
          <w:u w:val="single"/>
          <w:rtl w:val="0"/>
        </w:rPr>
        <w:t xml:space="preserve">christof.wilde@congatec.com </w:t>
      </w:r>
    </w:p>
    <w:p w:rsidR="00000000" w:rsidDel="00000000" w:rsidP="00000000" w:rsidRDefault="00000000" w:rsidRPr="00000000" w14:paraId="00000037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Contatto Stampa Agencia:</w:t>
      </w:r>
    </w:p>
    <w:p w:rsidR="00000000" w:rsidDel="00000000" w:rsidP="00000000" w:rsidRDefault="00000000" w:rsidRPr="00000000" w14:paraId="0000003A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Publitek GmbH</w:t>
      </w:r>
    </w:p>
    <w:p w:rsidR="00000000" w:rsidDel="00000000" w:rsidP="00000000" w:rsidRDefault="00000000" w:rsidRPr="00000000" w14:paraId="0000003B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Julia Wolff</w:t>
      </w:r>
    </w:p>
    <w:p w:rsidR="00000000" w:rsidDel="00000000" w:rsidP="00000000" w:rsidRDefault="00000000" w:rsidRPr="00000000" w14:paraId="0000003C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+49 (0)4181 968098-18</w:t>
      </w:r>
    </w:p>
    <w:p w:rsidR="00000000" w:rsidDel="00000000" w:rsidP="00000000" w:rsidRDefault="00000000" w:rsidRPr="00000000" w14:paraId="0000003D">
      <w:pPr>
        <w:spacing w:line="288" w:lineRule="auto"/>
        <w:rPr>
          <w:color w:val="0000ff"/>
          <w:sz w:val="23"/>
          <w:szCs w:val="23"/>
          <w:u w:val="single"/>
        </w:rPr>
      </w:pPr>
      <w:r w:rsidDel="00000000" w:rsidR="00000000" w:rsidRPr="00000000">
        <w:rPr>
          <w:color w:val="0000ff"/>
          <w:sz w:val="23"/>
          <w:szCs w:val="23"/>
          <w:u w:val="single"/>
          <w:rtl w:val="0"/>
        </w:rPr>
        <w:t xml:space="preserve">julia.wolff@publitek.com</w:t>
      </w:r>
    </w:p>
    <w:p w:rsidR="00000000" w:rsidDel="00000000" w:rsidP="00000000" w:rsidRDefault="00000000" w:rsidRPr="00000000" w14:paraId="0000003E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Bremer Straße 6</w:t>
      </w:r>
    </w:p>
    <w:p w:rsidR="00000000" w:rsidDel="00000000" w:rsidP="00000000" w:rsidRDefault="00000000" w:rsidRPr="00000000" w14:paraId="0000003F">
      <w:pPr>
        <w:spacing w:line="288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21244 Buchholz</w:t>
      </w:r>
    </w:p>
    <w:p w:rsidR="00000000" w:rsidDel="00000000" w:rsidP="00000000" w:rsidRDefault="00000000" w:rsidRPr="00000000" w14:paraId="00000040">
      <w:pPr>
        <w:spacing w:after="160" w:line="27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6838" w:w="11906" w:orient="portrait"/>
      <w:pgMar w:bottom="1134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pto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4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40" name="image4.png"/>
              <a:graphic>
                <a:graphicData uri="http://schemas.openxmlformats.org/drawingml/2006/picture">
                  <pic:pic>
                    <pic:nvPicPr>
                      <pic:cNvPr descr="congatec confidential information | This information is confidential and solely for the use of the recipient or entity and may not be reproduced or circulated without congatec prior written consent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3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39" name="image3.png"/>
              <a:graphic>
                <a:graphicData uri="http://schemas.openxmlformats.org/drawingml/2006/picture">
                  <pic:pic>
                    <pic:nvPicPr>
                      <pic:cNvPr descr="congatec confidential information | This information is confidential and solely for the use of the recipient or entity and may not be reproduced or circulated without congatec prior written consent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9060.0" w:type="dxa"/>
      <w:jc w:val="left"/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3B31"/>
    <w:pPr>
      <w:suppressAutoHyphens w:val="1"/>
    </w:pPr>
    <w:rPr>
      <w:rFonts w:cs="Times New Roman"/>
      <w:kern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367F0C"/>
    <w:pPr>
      <w:spacing w:line="276" w:lineRule="auto"/>
      <w:outlineLvl w:val="0"/>
    </w:pPr>
    <w:rPr>
      <w:b w:val="1"/>
      <w:bCs w:val="1"/>
      <w:noProof w:val="1"/>
      <w:sz w:val="36"/>
      <w:szCs w:val="36"/>
      <w:lang w:eastAsia="de-DE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">
    <w:name w:val="Table Grid"/>
    <w:basedOn w:val="TableauNormal"/>
    <w:uiPriority w:val="39"/>
    <w:rsid w:val="009E3CEF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Lienhypertexte">
    <w:name w:val="Hyperlink"/>
    <w:rsid w:val="00B54193"/>
    <w:rPr>
      <w:color w:val="0000ff"/>
      <w:u w:val="single"/>
    </w:rPr>
  </w:style>
  <w:style w:type="paragraph" w:styleId="Standard1" w:customStyle="1">
    <w:name w:val="Standard1"/>
    <w:uiPriority w:val="99"/>
    <w:rsid w:val="00467E79"/>
    <w:pPr>
      <w:suppressAutoHyphens w:val="1"/>
      <w:spacing w:line="240" w:lineRule="auto"/>
    </w:pPr>
    <w:rPr>
      <w:rFonts w:ascii="Times New Roman" w:cs="Times New Roman" w:hAnsi="Times New Roman"/>
      <w:kern w:val="1"/>
      <w:sz w:val="24"/>
      <w:szCs w:val="24"/>
      <w:lang w:eastAsia="ar-SA"/>
    </w:rPr>
  </w:style>
  <w:style w:type="character" w:styleId="Kommentarzeichen1" w:customStyle="1">
    <w:name w:val="Kommentarzeichen1"/>
    <w:rsid w:val="006B627C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B627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B627C"/>
    <w:rPr>
      <w:rFonts w:ascii="Tahoma" w:cs="Tahoma" w:hAnsi="Tahoma"/>
      <w:kern w:val="24"/>
      <w:sz w:val="16"/>
      <w:szCs w:val="16"/>
      <w:lang w:eastAsia="ar-SA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9A6F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 w:val="1"/>
    <w:rsid w:val="009A6FD3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9A6FD3"/>
    <w:rPr>
      <w:rFonts w:ascii="Arial" w:cs="Times New Roman" w:hAnsi="Arial"/>
      <w:kern w:val="24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9A6FD3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9A6FD3"/>
    <w:rPr>
      <w:rFonts w:ascii="Arial" w:cs="Times New Roman" w:hAnsi="Arial"/>
      <w:b w:val="1"/>
      <w:bCs w:val="1"/>
      <w:kern w:val="24"/>
      <w:sz w:val="20"/>
      <w:szCs w:val="20"/>
      <w:lang w:eastAsia="ar-SA"/>
    </w:rPr>
  </w:style>
  <w:style w:type="character" w:styleId="Titre1Car" w:customStyle="1">
    <w:name w:val="Titre 1 Car"/>
    <w:basedOn w:val="Policepardfaut"/>
    <w:link w:val="Titre1"/>
    <w:uiPriority w:val="9"/>
    <w:rsid w:val="00367F0C"/>
    <w:rPr>
      <w:rFonts w:ascii="Arial" w:cs="Times New Roman" w:hAnsi="Arial"/>
      <w:b w:val="1"/>
      <w:bCs w:val="1"/>
      <w:noProof w:val="1"/>
      <w:kern w:val="24"/>
      <w:sz w:val="36"/>
      <w:szCs w:val="36"/>
      <w:lang w:eastAsia="de-DE"/>
    </w:rPr>
  </w:style>
  <w:style w:type="paragraph" w:styleId="En-tte">
    <w:name w:val="header"/>
    <w:basedOn w:val="Normal"/>
    <w:link w:val="En-tteCar"/>
    <w:uiPriority w:val="99"/>
    <w:unhideWhenUsed w:val="1"/>
    <w:rsid w:val="00680509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80509"/>
    <w:rPr>
      <w:rFonts w:ascii="Arial" w:cs="Times New Roman" w:hAnsi="Arial"/>
      <w:kern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 w:val="1"/>
    <w:rsid w:val="00680509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80509"/>
    <w:rPr>
      <w:rFonts w:ascii="Arial" w:cs="Times New Roman" w:hAnsi="Arial"/>
      <w:kern w:val="24"/>
      <w:szCs w:val="24"/>
      <w:lang w:eastAsia="ar-SA"/>
    </w:rPr>
  </w:style>
  <w:style w:type="character" w:styleId="NichtaufgelsteErwhnung1" w:customStyle="1">
    <w:name w:val="Nicht aufgelöste Erwähnung1"/>
    <w:basedOn w:val="Policepardfaut"/>
    <w:uiPriority w:val="99"/>
    <w:semiHidden w:val="1"/>
    <w:unhideWhenUsed w:val="1"/>
    <w:rsid w:val="00835D39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DD6073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styleId="normaltextrun" w:customStyle="1">
    <w:name w:val="normaltextrun"/>
    <w:basedOn w:val="Policepardfaut"/>
    <w:rsid w:val="00DD6073"/>
  </w:style>
  <w:style w:type="character" w:styleId="eop" w:customStyle="1">
    <w:name w:val="eop"/>
    <w:basedOn w:val="Policepardfaut"/>
    <w:rsid w:val="00DD6073"/>
  </w:style>
  <w:style w:type="paragraph" w:styleId="NormalWeb">
    <w:name w:val="Normal (Web)"/>
    <w:basedOn w:val="Normal"/>
    <w:uiPriority w:val="99"/>
    <w:semiHidden w:val="1"/>
    <w:unhideWhenUsed w:val="1"/>
    <w:rsid w:val="00D602EB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vision">
    <w:name w:val="Revision"/>
    <w:hidden w:val="1"/>
    <w:uiPriority w:val="99"/>
    <w:semiHidden w:val="1"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styleId="Erwhnung1" w:customStyle="1">
    <w:name w:val="Erwähnung1"/>
    <w:basedOn w:val="Policepardfaut"/>
    <w:uiPriority w:val="99"/>
    <w:unhideWhenUsed w:val="1"/>
    <w:rsid w:val="009C2FFF"/>
    <w:rPr>
      <w:color w:val="2b579a"/>
      <w:shd w:color="auto" w:fill="e1dfdd" w:val="clear"/>
    </w:rPr>
  </w:style>
  <w:style w:type="table" w:styleId="TableNormal10" w:customStyle="1">
    <w:name w:val="Table Normal1"/>
    <w:rsid w:val="00323AC8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667034"/>
    <w:rPr>
      <w:color w:val="800080" w:themeColor="followedHyperlink"/>
      <w:u w:val="single"/>
    </w:rPr>
  </w:style>
  <w:style w:type="table" w:styleId="a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f01" w:customStyle="1">
    <w:name w:val="cf01"/>
    <w:basedOn w:val="Policepardfaut"/>
    <w:rsid w:val="00E90C2C"/>
    <w:rPr>
      <w:rFonts w:ascii="Segoe UI" w:cs="Segoe UI" w:hAnsi="Segoe UI" w:hint="default"/>
      <w:sz w:val="18"/>
      <w:szCs w:val="18"/>
    </w:rPr>
  </w:style>
  <w:style w:type="paragraph" w:styleId="pf0" w:customStyle="1">
    <w:name w:val="pf0"/>
    <w:basedOn w:val="Normal"/>
    <w:rsid w:val="002A77C0"/>
    <w:pPr>
      <w:suppressAutoHyphens w:val="0"/>
      <w:spacing w:after="100" w:afterAutospacing="1" w:before="100" w:beforeAutospacing="1" w:line="240" w:lineRule="auto"/>
    </w:pPr>
    <w:rPr>
      <w:rFonts w:ascii="Times New Roman" w:eastAsia="Times New Roman" w:hAnsi="Times New Roman"/>
      <w:kern w:val="0"/>
      <w:sz w:val="24"/>
      <w:lang w:eastAsia="zh-TW"/>
    </w:rPr>
  </w:style>
  <w:style w:type="table" w:styleId="a4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tionnonrsolue">
    <w:name w:val="Unresolved Mention"/>
    <w:basedOn w:val="Policepardfaut"/>
    <w:uiPriority w:val="99"/>
    <w:semiHidden w:val="1"/>
    <w:unhideWhenUsed w:val="1"/>
    <w:rsid w:val="006E4BEE"/>
    <w:rPr>
      <w:color w:val="605e5c"/>
      <w:shd w:color="auto" w:fill="e1dfdd" w:val="clear"/>
    </w:rPr>
  </w:style>
  <w:style w:type="table" w:styleId="a8" w:customStyle="1">
    <w:basedOn w:val="TableNormal3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lev">
    <w:name w:val="Strong"/>
    <w:basedOn w:val="Policepardfaut"/>
    <w:uiPriority w:val="22"/>
    <w:qFormat w:val="1"/>
    <w:rsid w:val="00EF3419"/>
    <w:rPr>
      <w:b w:val="1"/>
      <w:bCs w:val="1"/>
    </w:rPr>
  </w:style>
  <w:style w:type="table" w:styleId="ab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2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ngatec.comr/" TargetMode="External"/><Relationship Id="rId10" Type="http://schemas.openxmlformats.org/officeDocument/2006/relationships/hyperlink" Target="https://aready.com/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ongatec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gatec.com/en/technologies/smarc/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DQJDTKu7DdEfC4rKCg08qSF1w==">CgMxLjA4AHIhMXd0MnV4RDgtbkgwZXNxeDQwTE9BVGtqaDVWd1UtVjNU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2025-01-06T14:27:00Z</dcterms:created>
  <dc:creator>Christof Wilde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-1107777781</vt:lpwstr>
  </property>
  <property fmtid="{D5CDD505-2E9C-101B-9397-08002B2CF9AE}" pid="3" name="ContentTypeId">
    <vt:lpwstr>0x010100A65D1CCFAA837D49A22EF3A48EF615E1</vt:lpwstr>
  </property>
  <property fmtid="{D5CDD505-2E9C-101B-9397-08002B2CF9AE}" pid="4" name="MediaServiceImageTags">
    <vt:lpwstr>MediaServiceImageTags</vt:lpwstr>
  </property>
  <property fmtid="{D5CDD505-2E9C-101B-9397-08002B2CF9AE}" pid="5" name="GrammarlyDocumentId">
    <vt:lpwstr>de07f0743253d7fe3f83e5346b3d409b265d515cecf14fc850006b3e3b518634</vt:lpwstr>
  </property>
  <property fmtid="{D5CDD505-2E9C-101B-9397-08002B2CF9AE}" pid="6" name="xd_ProgID">
    <vt:lpwstr>xd_ProgID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  <property fmtid="{D5CDD505-2E9C-101B-9397-08002B2CF9AE}" pid="12" name="Technology">
    <vt:lpwstr/>
  </property>
  <property fmtid="{D5CDD505-2E9C-101B-9397-08002B2CF9AE}" pid="13" name="MKT_x0020_Tool">
    <vt:lpwstr>60;#Communications|e0c0526b-2b41-43bb-a08c-1cb498609ece</vt:lpwstr>
  </property>
  <property fmtid="{D5CDD505-2E9C-101B-9397-08002B2CF9AE}" pid="14" name="Vendor">
    <vt:lpwstr/>
  </property>
  <property fmtid="{D5CDD505-2E9C-101B-9397-08002B2CF9AE}" pid="15" name="Sensitiv">
    <vt:lpwstr/>
  </property>
  <property fmtid="{D5CDD505-2E9C-101B-9397-08002B2CF9AE}" pid="16" name="Approval_x0020_Process">
    <vt:lpwstr/>
  </property>
  <property fmtid="{D5CDD505-2E9C-101B-9397-08002B2CF9AE}" pid="17" name="Product_x0020_Name">
    <vt:lpwstr/>
  </property>
  <property fmtid="{D5CDD505-2E9C-101B-9397-08002B2CF9AE}" pid="18" name="Content">
    <vt:lpwstr>110;#Press Release|5cf71846-c6a5-494a-9a1a-95d12d8e4f03</vt:lpwstr>
  </property>
  <property fmtid="{D5CDD505-2E9C-101B-9397-08002B2CF9AE}" pid="19" name="Building_x0020_Block">
    <vt:lpwstr/>
  </property>
  <property fmtid="{D5CDD505-2E9C-101B-9397-08002B2CF9AE}" pid="20" name="CorpProject">
    <vt:lpwstr/>
  </property>
  <property fmtid="{D5CDD505-2E9C-101B-9397-08002B2CF9AE}" pid="21" name="Form_x0020_Factor">
    <vt:lpwstr>12;#SMARC|f89a9fff-05b1-424c-a82b-94a7fbfd552d</vt:lpwstr>
  </property>
  <property fmtid="{D5CDD505-2E9C-101B-9397-08002B2CF9AE}" pid="22" name="Ecosystem">
    <vt:lpwstr/>
  </property>
  <property fmtid="{D5CDD505-2E9C-101B-9397-08002B2CF9AE}" pid="23" name="Industry">
    <vt:lpwstr/>
  </property>
  <property fmtid="{D5CDD505-2E9C-101B-9397-08002B2CF9AE}" pid="24" name="Status">
    <vt:lpwstr>109;#Review|5adc58f2-c1bf-4548-81db-8df4dfed0ede</vt:lpwstr>
  </property>
  <property fmtid="{D5CDD505-2E9C-101B-9397-08002B2CF9AE}" pid="25" name="Project_x0020_Name">
    <vt:lpwstr/>
  </property>
  <property fmtid="{D5CDD505-2E9C-101B-9397-08002B2CF9AE}" pid="26" name="Form Factor">
    <vt:lpwstr>12;#SMARC|f89a9fff-05b1-424c-a82b-94a7fbfd552d</vt:lpwstr>
  </property>
  <property fmtid="{D5CDD505-2E9C-101B-9397-08002B2CF9AE}" pid="27" name="Building Block">
    <vt:lpwstr/>
  </property>
  <property fmtid="{D5CDD505-2E9C-101B-9397-08002B2CF9AE}" pid="28" name="Approval Process">
    <vt:lpwstr/>
  </property>
  <property fmtid="{D5CDD505-2E9C-101B-9397-08002B2CF9AE}" pid="29" name="Product Name">
    <vt:lpwstr/>
  </property>
  <property fmtid="{D5CDD505-2E9C-101B-9397-08002B2CF9AE}" pid="30" name="Project Name">
    <vt:lpwstr/>
  </property>
  <property fmtid="{D5CDD505-2E9C-101B-9397-08002B2CF9AE}" pid="31" name="MKT Tool">
    <vt:lpwstr>60;#Communications|e0c0526b-2b41-43bb-a08c-1cb498609ece</vt:lpwstr>
  </property>
  <property fmtid="{D5CDD505-2E9C-101B-9397-08002B2CF9AE}" pid="32" name="ClassificationContentMarkingFooterShapeIds">
    <vt:lpwstr>1,2,3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35" name="MSIP_Label_cffacaf4-12c9-4a18-9e17-a1a61701c062_Enabled">
    <vt:lpwstr>true</vt:lpwstr>
  </property>
  <property fmtid="{D5CDD505-2E9C-101B-9397-08002B2CF9AE}" pid="36" name="MSIP_Label_cffacaf4-12c9-4a18-9e17-a1a61701c062_SetDate">
    <vt:lpwstr>2024-12-20T12:08:40Z</vt:lpwstr>
  </property>
  <property fmtid="{D5CDD505-2E9C-101B-9397-08002B2CF9AE}" pid="37" name="MSIP_Label_cffacaf4-12c9-4a18-9e17-a1a61701c062_Method">
    <vt:lpwstr>Standard</vt:lpwstr>
  </property>
  <property fmtid="{D5CDD505-2E9C-101B-9397-08002B2CF9AE}" pid="38" name="MSIP_Label_cffacaf4-12c9-4a18-9e17-a1a61701c062_Name">
    <vt:lpwstr>confidential</vt:lpwstr>
  </property>
  <property fmtid="{D5CDD505-2E9C-101B-9397-08002B2CF9AE}" pid="39" name="MSIP_Label_cffacaf4-12c9-4a18-9e17-a1a61701c062_SiteId">
    <vt:lpwstr>1b738660-1266-4587-9d54-54e9ad89e4cb</vt:lpwstr>
  </property>
  <property fmtid="{D5CDD505-2E9C-101B-9397-08002B2CF9AE}" pid="40" name="MSIP_Label_cffacaf4-12c9-4a18-9e17-a1a61701c062_ActionId">
    <vt:lpwstr>c543d816-213e-404b-bdaf-eba073dd62d9</vt:lpwstr>
  </property>
  <property fmtid="{D5CDD505-2E9C-101B-9397-08002B2CF9AE}" pid="41" name="MSIP_Label_cffacaf4-12c9-4a18-9e17-a1a61701c062_ContentBits">
    <vt:lpwstr>2</vt:lpwstr>
  </property>
</Properties>
</file>