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4349839</wp:posOffset>
            </wp:positionH>
            <wp:positionV relativeFrom="paragraph">
              <wp:posOffset>-345911</wp:posOffset>
            </wp:positionV>
            <wp:extent cx="1150531" cy="903767"/>
            <wp:effectExtent b="0" l="0" r="0" t="0"/>
            <wp:wrapNone/>
            <wp:docPr descr="Congatec_Standardlogo_RGB.jpg" id="147181283"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50531" cy="903767"/>
                    </a:xfrm>
                    <a:prstGeom prst="rect"/>
                    <a:ln/>
                  </pic:spPr>
                </pic:pic>
              </a:graphicData>
            </a:graphic>
          </wp:anchor>
        </w:drawing>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congatec presenta nuevos módulos SMARC basados en la serie de procesadores NXP i.MX 95</w:t>
      </w:r>
    </w:p>
    <w:p w:rsidR="00000000" w:rsidDel="00000000" w:rsidP="00000000" w:rsidRDefault="00000000" w:rsidRPr="00000000" w14:paraId="00000005">
      <w:pPr>
        <w:rPr>
          <w:b w:val="1"/>
          <w:sz w:val="18"/>
          <w:szCs w:val="18"/>
        </w:rPr>
      </w:pPr>
      <w:r w:rsidDel="00000000" w:rsidR="00000000" w:rsidRPr="00000000">
        <w:rPr>
          <w:b w:val="1"/>
          <w:sz w:val="36"/>
          <w:szCs w:val="36"/>
          <w:rtl w:val="0"/>
        </w:rPr>
        <w:t xml:space="preserve">Los módulos de congatec establecen nuevos puntos de referencia para aplicaciones seguras de IA en el edge</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Pr>
        <w:drawing>
          <wp:inline distB="0" distT="0" distL="0" distR="0">
            <wp:extent cx="5579745" cy="3719830"/>
            <wp:effectExtent b="0" l="0" r="0" t="0"/>
            <wp:docPr id="14718128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579745" cy="371983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Deggendorf</w:t>
      </w:r>
      <w:r w:rsidDel="00000000" w:rsidR="00000000" w:rsidRPr="00000000">
        <w:rPr>
          <w:b w:val="1"/>
          <w:rtl w:val="0"/>
        </w:rPr>
        <w:t xml:space="preserve">/Nuremberg, Alemania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11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 julio de 2024 *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congatec - proveedor líder de tecnología de sistemas embebidos y edge computing - presenta nuevos módulos COM (Computer-on-Modules) de altas prestaciones con procesadores i.MX 95 de NXP, ampliando así su amplia cartera de módulos con procesadores NXP i.MX Arm de bajo consumo. De este modo, congatec subraya su sólida colaboración con NXP. Los clientes se benefician de una escalabilidad sencilla y unas rutas de actualización fiables para las aplicaciones de inteligencia artificial de bajo consumo existentes y nuevas con altos requisitos de seguridad.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estas aplicaciones, los nuevos módulos ofrecen las ventajas de un rendimiento computacional hasta tres veces superior en GFLOPS en comparación con la generación anterior con procesadores i.MX8 M Plus. La nueva unidad de procesamiento neuronal de NXP denominada "eIQ Neutron" duplica el rendimiento de inferencia para visión artificial acelerada por IA. Además, el enclave seguro EdgeLock® integrado en hardware simplifica la implementación de medidas internas de ciberseguridad.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nuevos módulos SMARC conga-SMX95 están diseñados para un rango de temperatura industrial desde -40°C a +85°C, son robustos en términos mecánicos y están optimizados para aplicaciones eficientes en coste y energía. La NPU de alto rendimiento eIQ Neutron integrada hace posible que las cargas de trabajo aceleradas por IA se realicen incluso más cerca del nivel de dispositivo local. Las aplicaciones específicas de los nuevos módulos SMARC pueden encontrarse en aplicaciones de bajo consumo aceleradas por IA en sectores como la producción industrial, la visión artificial y la inspección visual, los HMI robustos, las impresoras 3D, los controladores robóticos en AMR y AGV, así como los sistemas de visualización médica y monitorización de pacientes. Otras aplicaciones son el entretenimiento en los asientos traseros de autobuses y aviones, la gestión de flotas de transporte, la construcción y la agricultura.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conjunto de características al detalle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nuevos módulos SMARC 2.1 conga-SMX95 se basan en la nueva generación de procesadores de aplicación NXP i.MX 95 con 4-6 núcleos Arm Cortex-A55. NXP utiliza por primera vez la nueva unidad gráfica 3D Arm Mali, que ofrece hasta tres veces más rendimiento de GPU que sus predecesores basados en i. MX8 M Plus. También es nuevo el procesador de señal de imagen (ISP) para el procesamiento de imágenes acelerado por hardware. Especialmente destacable es la NPU NXP eIQ Neutron para inferencia de IA acelerada por hardware y aprendizaje automático (ML) de vanguardia en los nuevos módulos SMARC. El correspondiente entorno de desarrollo de software eIQ® de NXP ofrece a los fabricantes de equipos originales un entorno de desarrollo de alto rendimiento que simplifica la implementación de aplicaciones ML internas.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Además, los nuevos módulos SMARC integran un dominio de tiempo real para controladores de tiempo real. Los módulos SMARC conga-SMX95 ofrecen 2x Gbit Ethernet con TSN para la transmisión sincronizada y determinista de datos de red, LPDDR5 (con ECC en línea) para la seguridad de los datos. Para la conectividad de pantalla, los nuevos módulos ofrecen DisplayPort como interfaz estándar y la interfaz de pantalla LVDS, aún ampliamente utilizada. Para la conectividad directa con la cámara, los módulos disponen de 2x MIPI-CSI.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congatec también ofrece un amplio ecosistema de hardware y software, así como servicios integrales de diseño para simplificar y acelerar el desarrollo de aplicaciones. Esto incluye, entre otras cosas, placas con de aplicaciones listas para evaluación y producción y soluciones de refrigeración a medida. En términos de servicios, congatec ofrece documentación completa, formación y mediciones de integridad de señal para el desarrollo de aplicaciones.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Más información sobre los nuevos módulos SMARC conga-SMX95 en: </w:t>
      </w:r>
      <w:hyperlink r:id="rId9">
        <w:r w:rsidDel="00000000" w:rsidR="00000000" w:rsidRPr="00000000">
          <w:rPr>
            <w:color w:val="1155cc"/>
            <w:u w:val="single"/>
            <w:rtl w:val="0"/>
          </w:rPr>
          <w:t xml:space="preserve">https://www.congatec.com/en/products/smarc/conga-smx95/</w:t>
        </w:r>
      </w:hyperlink>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pPr>
      <w:r w:rsidDel="00000000" w:rsidR="00000000" w:rsidRPr="00000000">
        <w:rPr>
          <w:rtl w:val="0"/>
        </w:rPr>
        <w:br w:type="textWrapping"/>
      </w:r>
      <w:r w:rsidDel="00000000" w:rsidR="00000000" w:rsidRPr="00000000">
        <w:rPr>
          <w:color w:val="000000"/>
          <w:rtl w:val="0"/>
        </w:rPr>
        <w:t xml:space="preserve">Más información sobre el estándar de módulos SMARC en: </w:t>
      </w:r>
      <w:hyperlink r:id="rId10">
        <w:r w:rsidDel="00000000" w:rsidR="00000000" w:rsidRPr="00000000">
          <w:rPr>
            <w:color w:val="1155cc"/>
            <w:u w:val="single"/>
            <w:rtl w:val="0"/>
          </w:rPr>
          <w:t xml:space="preserve">https://www.congatec.com/en/technologies/smarc/</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40" w:lineRule="auto"/>
        <w:rPr>
          <w:sz w:val="18"/>
          <w:szCs w:val="18"/>
        </w:rPr>
      </w:pPr>
      <w:r w:rsidDel="00000000" w:rsidR="00000000" w:rsidRPr="00000000">
        <w:rPr>
          <w:b w:val="1"/>
          <w:sz w:val="18"/>
          <w:szCs w:val="18"/>
          <w:rtl w:val="0"/>
        </w:rPr>
        <w:t xml:space="preserve">Sobre congatec </w:t>
      </w:r>
      <w:r w:rsidDel="00000000" w:rsidR="00000000" w:rsidRPr="00000000">
        <w:rPr>
          <w:sz w:val="18"/>
          <w:szCs w:val="18"/>
          <w:rtl w:val="0"/>
        </w:rPr>
        <w:t xml:space="preserve"> </w:t>
      </w:r>
    </w:p>
    <w:p w:rsidR="00000000" w:rsidDel="00000000" w:rsidP="00000000" w:rsidRDefault="00000000" w:rsidRPr="00000000" w14:paraId="0000001B">
      <w:pPr>
        <w:spacing w:line="240" w:lineRule="auto"/>
        <w:rPr>
          <w:sz w:val="18"/>
          <w:szCs w:val="18"/>
        </w:rPr>
      </w:pPr>
      <w:r w:rsidDel="00000000" w:rsidR="00000000" w:rsidRPr="00000000">
        <w:rPr>
          <w:sz w:val="18"/>
          <w:szCs w:val="18"/>
          <w:rtl w:val="0"/>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robótica,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1">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 via </w:t>
      </w:r>
      <w:hyperlink r:id="rId12">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3">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y </w:t>
      </w:r>
      <w:hyperlink r:id="rId14">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p>
    <w:p w:rsidR="00000000" w:rsidDel="00000000" w:rsidP="00000000" w:rsidRDefault="00000000" w:rsidRPr="00000000" w14:paraId="0000001C">
      <w:pPr>
        <w:spacing w:line="240" w:lineRule="auto"/>
        <w:ind w:right="283"/>
        <w:rPr>
          <w:sz w:val="16"/>
          <w:szCs w:val="16"/>
        </w:rPr>
      </w:pPr>
      <w:r w:rsidDel="00000000" w:rsidR="00000000" w:rsidRPr="00000000">
        <w:rPr>
          <w:rtl w:val="0"/>
        </w:rPr>
      </w:r>
    </w:p>
    <w:p w:rsidR="00000000" w:rsidDel="00000000" w:rsidP="00000000" w:rsidRDefault="00000000" w:rsidRPr="00000000" w14:paraId="0000001D">
      <w:pPr>
        <w:spacing w:line="240" w:lineRule="auto"/>
        <w:ind w:right="283"/>
        <w:rPr>
          <w:b w:val="1"/>
          <w:sz w:val="18"/>
          <w:szCs w:val="18"/>
        </w:rPr>
      </w:pPr>
      <w:r w:rsidDel="00000000" w:rsidR="00000000" w:rsidRPr="00000000">
        <w:rPr>
          <w:sz w:val="16"/>
          <w:szCs w:val="16"/>
          <w:rtl w:val="0"/>
        </w:rPr>
        <w:t xml:space="preserve">Texto y foto también disponible online en: </w:t>
      </w:r>
      <w:hyperlink r:id="rId15">
        <w:r w:rsidDel="00000000" w:rsidR="00000000" w:rsidRPr="00000000">
          <w:rPr>
            <w:color w:val="0000ff"/>
            <w:sz w:val="16"/>
            <w:szCs w:val="16"/>
            <w:u w:val="single"/>
            <w:rtl w:val="0"/>
          </w:rPr>
          <w:t xml:space="preserve">https://www.congatec.com/es/congatec/notas-de-prensa.html</w:t>
        </w:r>
      </w:hyperlink>
      <w:r w:rsidDel="00000000" w:rsidR="00000000" w:rsidRPr="00000000">
        <w:rPr>
          <w:rtl w:val="0"/>
        </w:rPr>
      </w:r>
    </w:p>
    <w:p w:rsidR="00000000" w:rsidDel="00000000" w:rsidP="00000000" w:rsidRDefault="00000000" w:rsidRPr="00000000" w14:paraId="0000001E">
      <w:pPr>
        <w:spacing w:line="240" w:lineRule="auto"/>
        <w:ind w:right="283"/>
        <w:rPr>
          <w:b w:val="1"/>
          <w:sz w:val="18"/>
          <w:szCs w:val="18"/>
        </w:rPr>
      </w:pPr>
      <w:r w:rsidDel="00000000" w:rsidR="00000000" w:rsidRPr="00000000">
        <w:rPr>
          <w:rtl w:val="0"/>
        </w:rPr>
      </w:r>
    </w:p>
    <w:p w:rsidR="00000000" w:rsidDel="00000000" w:rsidP="00000000" w:rsidRDefault="00000000" w:rsidRPr="00000000" w14:paraId="0000001F">
      <w:pPr>
        <w:spacing w:line="240" w:lineRule="auto"/>
        <w:rPr>
          <w:b w:val="1"/>
          <w:sz w:val="18"/>
          <w:szCs w:val="18"/>
        </w:rPr>
      </w:pPr>
      <w:r w:rsidDel="00000000" w:rsidR="00000000" w:rsidRPr="00000000">
        <w:rPr>
          <w:sz w:val="16"/>
          <w:szCs w:val="16"/>
          <w:rtl w:val="0"/>
        </w:rPr>
        <w:t xml:space="preserve">Intel, el logotipo de Intel y otras marcas de Intel son marcas comerciales de Intel Corporation o sus filiales.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right="283"/>
        <w:jc w:val="both"/>
        <w:rPr>
          <w:b w:val="1"/>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rPr>
      </w:pPr>
      <w:r w:rsidDel="00000000" w:rsidR="00000000" w:rsidRPr="00000000">
        <w:rPr>
          <w:b w:val="1"/>
          <w:color w:val="000000"/>
          <w:rtl w:val="0"/>
        </w:rPr>
        <w:t xml:space="preserve">Consultas del lector:</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congatec</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Phone: +49-991-2700-0</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right="283"/>
        <w:jc w:val="both"/>
        <w:rPr>
          <w:color w:val="000000"/>
        </w:rPr>
      </w:pPr>
      <w:hyperlink r:id="rId16">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b w:val="1"/>
          <w:color w:val="000000"/>
          <w:rtl w:val="0"/>
        </w:rPr>
        <w:t xml:space="preserve">Contacto de prensa congatec:</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congatec</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Christof Wilde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Phone:  +49-991-2700-2822</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Contacto de prensa agencia</w:t>
      </w:r>
      <w:r w:rsidDel="00000000" w:rsidR="00000000" w:rsidRPr="00000000">
        <w:rPr>
          <w:color w:val="000000"/>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Publitek GmbH</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Julia Wolff</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+49 (0)4181 968098-18</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color w:val="000000"/>
        </w:rPr>
      </w:pPr>
      <w:hyperlink r:id="rId17">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Bremer Straße 6</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21244 Buchholz</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Por favor, envíe ejemplar impreso a</w:t>
      </w:r>
      <w:r w:rsidDel="00000000" w:rsidR="00000000" w:rsidRPr="00000000">
        <w:rPr>
          <w:color w:val="000000"/>
          <w:rtl w:val="0"/>
        </w:rPr>
        <w:t xml:space="preserv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Publitek GmbH</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Diana Penzien</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Bremer Straße 6</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21244 Buchholz</w:t>
      </w:r>
    </w:p>
    <w:p w:rsidR="00000000" w:rsidDel="00000000" w:rsidP="00000000" w:rsidRDefault="00000000" w:rsidRPr="00000000" w14:paraId="0000003A">
      <w:pPr>
        <w:spacing w:after="240" w:lineRule="auto"/>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247" w:left="1418" w:right="1701"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E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Normal" w:default="1">
    <w:name w:val="Normal"/>
    <w:qFormat w:val="1"/>
    <w:rsid w:val="004E283C"/>
    <w:pPr>
      <w:suppressAutoHyphens w:val="1"/>
    </w:pPr>
    <w:rPr>
      <w:rFonts w:eastAsia="Times New Roman"/>
      <w:kern w:val="1"/>
      <w:lang w:eastAsia="ar-SA"/>
    </w:rPr>
  </w:style>
  <w:style w:type="paragraph" w:styleId="Ttulo1">
    <w:name w:val="heading 1"/>
    <w:basedOn w:val="Normal"/>
    <w:next w:val="Normal"/>
    <w:link w:val="Ttulo1Car"/>
    <w:uiPriority w:val="9"/>
    <w:qFormat w:val="1"/>
    <w:rsid w:val="00D32C97"/>
    <w:pPr>
      <w:spacing w:line="276" w:lineRule="auto"/>
      <w:outlineLvl w:val="0"/>
    </w:pPr>
    <w:rPr>
      <w:b w:val="1"/>
      <w:sz w:val="36"/>
      <w:szCs w:val="36"/>
    </w:rPr>
  </w:style>
  <w:style w:type="paragraph" w:styleId="Ttulo2">
    <w:name w:val="heading 2"/>
    <w:aliases w:val="Subheadline"/>
    <w:basedOn w:val="Normal"/>
    <w:next w:val="Normal"/>
    <w:link w:val="Ttulo2Car"/>
    <w:uiPriority w:val="9"/>
    <w:semiHidden w:val="1"/>
    <w:unhideWhenUsed w:val="1"/>
    <w:qFormat w:val="1"/>
    <w:rsid w:val="004D2177"/>
    <w:pPr>
      <w:keepNext w:val="1"/>
      <w:keepLines w:val="1"/>
      <w:suppressAutoHyphens w:val="0"/>
      <w:spacing w:after="200" w:before="200"/>
      <w:outlineLvl w:val="1"/>
    </w:pPr>
    <w:rPr>
      <w:rFonts w:cstheme="majorBidi" w:eastAsiaTheme="majorEastAsia"/>
      <w:bCs w:val="1"/>
      <w:i w:val="1"/>
      <w:kern w:val="0"/>
      <w:szCs w:val="26"/>
      <w:lang w:eastAsia="en-US"/>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4D2177"/>
    <w:pPr>
      <w:suppressAutoHyphens w:val="0"/>
      <w:spacing w:after="300"/>
      <w:contextualSpacing w:val="1"/>
      <w:jc w:val="center"/>
    </w:pPr>
    <w:rPr>
      <w:rFonts w:cstheme="majorBidi" w:eastAsiaTheme="majorEastAsia"/>
      <w:b w:val="1"/>
      <w:spacing w:val="5"/>
      <w:kern w:val="28"/>
      <w:sz w:val="36"/>
      <w:szCs w:val="52"/>
      <w:lang w:eastAsia="en-US"/>
    </w:rPr>
  </w:style>
  <w:style w:type="character" w:styleId="Ttulo1Car" w:customStyle="1">
    <w:name w:val="Título 1 Car"/>
    <w:basedOn w:val="Fuentedeprrafopredeter"/>
    <w:link w:val="Ttulo1"/>
    <w:uiPriority w:val="9"/>
    <w:rsid w:val="00D32C97"/>
    <w:rPr>
      <w:rFonts w:ascii="Arial" w:cs="Arial" w:eastAsia="Times New Roman" w:hAnsi="Arial"/>
      <w:b w:val="1"/>
      <w:kern w:val="1"/>
      <w:sz w:val="36"/>
      <w:szCs w:val="36"/>
      <w:lang w:eastAsia="ar-SA" w:val="en-US"/>
    </w:rPr>
  </w:style>
  <w:style w:type="character" w:styleId="Ttulo2Car" w:customStyle="1">
    <w:name w:val="Título 2 Car"/>
    <w:aliases w:val="Subheadline Car"/>
    <w:basedOn w:val="Fuentedeprrafopredeter"/>
    <w:link w:val="Ttulo2"/>
    <w:uiPriority w:val="9"/>
    <w:semiHidden w:val="1"/>
    <w:rsid w:val="004D2177"/>
    <w:rPr>
      <w:rFonts w:ascii="Arial" w:hAnsi="Arial" w:cstheme="majorBidi" w:eastAsiaTheme="majorEastAsia"/>
      <w:bCs w:val="1"/>
      <w:i w:val="1"/>
      <w:sz w:val="24"/>
      <w:szCs w:val="26"/>
    </w:rPr>
  </w:style>
  <w:style w:type="character" w:styleId="TtuloCar" w:customStyle="1">
    <w:name w:val="Título Car"/>
    <w:basedOn w:val="Fuentedeprrafopredeter"/>
    <w:link w:val="Ttulo"/>
    <w:uiPriority w:val="10"/>
    <w:rsid w:val="004D2177"/>
    <w:rPr>
      <w:rFonts w:ascii="Arial" w:hAnsi="Arial" w:cstheme="majorBidi" w:eastAsiaTheme="majorEastAsia"/>
      <w:b w:val="1"/>
      <w:spacing w:val="5"/>
      <w:kern w:val="28"/>
      <w:sz w:val="36"/>
      <w:szCs w:val="52"/>
    </w:rPr>
  </w:style>
  <w:style w:type="character" w:styleId="Hipervnculo">
    <w:name w:val="Hyperlink"/>
    <w:uiPriority w:val="99"/>
    <w:rsid w:val="00D108AC"/>
    <w:rPr>
      <w:color w:val="0000ff"/>
      <w:u w:val="single"/>
    </w:rPr>
  </w:style>
  <w:style w:type="paragraph" w:styleId="Standard1" w:customStyle="1">
    <w:name w:val="Standard1"/>
    <w:uiPriority w:val="99"/>
    <w:rsid w:val="00D108AC"/>
    <w:pPr>
      <w:suppressAutoHyphens w:val="1"/>
    </w:pPr>
    <w:rPr>
      <w:rFonts w:ascii="Times New Roman" w:cs="Times New Roman" w:hAnsi="Times New Roman"/>
      <w:kern w:val="1"/>
      <w:sz w:val="24"/>
      <w:szCs w:val="24"/>
      <w:lang w:eastAsia="ar-SA"/>
    </w:rPr>
  </w:style>
  <w:style w:type="character" w:styleId="Kommentarzeichen1" w:customStyle="1">
    <w:name w:val="Kommentarzeichen1"/>
    <w:rsid w:val="00D108AC"/>
    <w:rPr>
      <w:sz w:val="16"/>
      <w:szCs w:val="16"/>
    </w:rPr>
  </w:style>
  <w:style w:type="paragraph" w:styleId="Pressemitteilung" w:customStyle="1">
    <w:name w:val="Pressemitteilung"/>
    <w:basedOn w:val="Normal"/>
    <w:rsid w:val="00D108AC"/>
    <w:pPr>
      <w:spacing w:after="240" w:before="360"/>
    </w:pPr>
    <w:rPr>
      <w:b w:val="1"/>
      <w:kern w:val="0"/>
      <w:szCs w:val="20"/>
      <w:u w:val="single"/>
    </w:rPr>
  </w:style>
  <w:style w:type="character" w:styleId="Refdecomentario">
    <w:name w:val="annotation reference"/>
    <w:uiPriority w:val="99"/>
    <w:semiHidden w:val="1"/>
    <w:unhideWhenUsed w:val="1"/>
    <w:rsid w:val="00D108AC"/>
    <w:rPr>
      <w:sz w:val="16"/>
      <w:szCs w:val="16"/>
    </w:rPr>
  </w:style>
  <w:style w:type="paragraph" w:styleId="Textocomentario">
    <w:name w:val="annotation text"/>
    <w:basedOn w:val="Normal"/>
    <w:link w:val="TextocomentarioCar"/>
    <w:uiPriority w:val="99"/>
    <w:semiHidden w:val="1"/>
    <w:unhideWhenUsed w:val="1"/>
    <w:rsid w:val="00D108AC"/>
    <w:rPr>
      <w:sz w:val="20"/>
      <w:szCs w:val="20"/>
    </w:rPr>
  </w:style>
  <w:style w:type="character" w:styleId="TextocomentarioCar" w:customStyle="1">
    <w:name w:val="Texto comentario Car"/>
    <w:basedOn w:val="Fuentedeprrafopredeter"/>
    <w:link w:val="Textocomentario"/>
    <w:uiPriority w:val="99"/>
    <w:semiHidden w:val="1"/>
    <w:rsid w:val="00D108AC"/>
    <w:rPr>
      <w:rFonts w:ascii="Times New Roman" w:cs="Times New Roman" w:eastAsia="Times New Roman" w:hAnsi="Times New Roman"/>
      <w:kern w:val="1"/>
      <w:sz w:val="20"/>
      <w:szCs w:val="20"/>
      <w:lang w:eastAsia="ar-SA"/>
    </w:rPr>
  </w:style>
  <w:style w:type="paragraph" w:styleId="Textodeglobo">
    <w:name w:val="Balloon Text"/>
    <w:basedOn w:val="Normal"/>
    <w:link w:val="TextodegloboCar"/>
    <w:uiPriority w:val="99"/>
    <w:semiHidden w:val="1"/>
    <w:unhideWhenUsed w:val="1"/>
    <w:rsid w:val="00D108A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108AC"/>
    <w:rPr>
      <w:rFonts w:ascii="Tahoma" w:cs="Tahoma" w:eastAsia="Times New Roman" w:hAnsi="Tahoma"/>
      <w:kern w:val="1"/>
      <w:sz w:val="16"/>
      <w:szCs w:val="16"/>
      <w:lang w:eastAsia="ar-SA"/>
    </w:rPr>
  </w:style>
  <w:style w:type="paragraph" w:styleId="Asuntodelcomentario">
    <w:name w:val="annotation subject"/>
    <w:basedOn w:val="Textocomentario"/>
    <w:next w:val="Textocomentario"/>
    <w:link w:val="AsuntodelcomentarioCar"/>
    <w:uiPriority w:val="99"/>
    <w:semiHidden w:val="1"/>
    <w:unhideWhenUsed w:val="1"/>
    <w:rsid w:val="009C67E6"/>
    <w:rPr>
      <w:b w:val="1"/>
      <w:bCs w:val="1"/>
    </w:rPr>
  </w:style>
  <w:style w:type="character" w:styleId="AsuntodelcomentarioCar" w:customStyle="1">
    <w:name w:val="Asunto del comentario Car"/>
    <w:basedOn w:val="TextocomentarioCar"/>
    <w:link w:val="Asuntodelcomentario"/>
    <w:uiPriority w:val="99"/>
    <w:semiHidden w:val="1"/>
    <w:rsid w:val="009C67E6"/>
    <w:rPr>
      <w:rFonts w:ascii="Times New Roman" w:cs="Times New Roman" w:eastAsia="Times New Roman" w:hAnsi="Times New Roman"/>
      <w:b w:val="1"/>
      <w:bCs w:val="1"/>
      <w:kern w:val="1"/>
      <w:sz w:val="20"/>
      <w:szCs w:val="20"/>
      <w:lang w:eastAsia="ar-SA"/>
    </w:rPr>
  </w:style>
  <w:style w:type="character" w:styleId="Hipervnculovisitado">
    <w:name w:val="FollowedHyperlink"/>
    <w:basedOn w:val="Fuentedeprrafopredeter"/>
    <w:uiPriority w:val="99"/>
    <w:semiHidden w:val="1"/>
    <w:unhideWhenUsed w:val="1"/>
    <w:rsid w:val="00CA0D75"/>
    <w:rPr>
      <w:color w:val="800080" w:themeColor="followedHyperlink"/>
      <w:u w:val="single"/>
    </w:rPr>
  </w:style>
  <w:style w:type="paragraph" w:styleId="NormalWeb">
    <w:name w:val="Normal (Web)"/>
    <w:basedOn w:val="Normal"/>
    <w:uiPriority w:val="99"/>
    <w:unhideWhenUsed w:val="1"/>
    <w:rsid w:val="00047E06"/>
    <w:pPr>
      <w:suppressAutoHyphens w:val="0"/>
      <w:spacing w:after="100" w:afterAutospacing="1" w:before="100" w:beforeAutospacing="1"/>
    </w:pPr>
    <w:rPr>
      <w:kern w:val="0"/>
      <w:lang w:eastAsia="de-DE"/>
    </w:rPr>
  </w:style>
  <w:style w:type="character" w:styleId="st" w:customStyle="1">
    <w:name w:val="st"/>
    <w:basedOn w:val="Fuentedeprrafopredeter"/>
    <w:rsid w:val="00EE5596"/>
  </w:style>
  <w:style w:type="character" w:styleId="nfasis">
    <w:name w:val="Emphasis"/>
    <w:basedOn w:val="Fuentedeprrafopredeter"/>
    <w:uiPriority w:val="20"/>
    <w:qFormat w:val="1"/>
    <w:rsid w:val="00EE5596"/>
    <w:rPr>
      <w:i w:val="1"/>
      <w:iCs w:val="1"/>
    </w:rPr>
  </w:style>
  <w:style w:type="paragraph" w:styleId="Textonotaalfinal">
    <w:name w:val="endnote text"/>
    <w:basedOn w:val="Normal"/>
    <w:link w:val="TextonotaalfinalCar"/>
    <w:uiPriority w:val="99"/>
    <w:unhideWhenUsed w:val="1"/>
    <w:rsid w:val="00D97483"/>
    <w:rPr>
      <w:sz w:val="20"/>
      <w:szCs w:val="20"/>
    </w:rPr>
  </w:style>
  <w:style w:type="character" w:styleId="TextonotaalfinalCar" w:customStyle="1">
    <w:name w:val="Texto nota al final Car"/>
    <w:basedOn w:val="Fuentedeprrafopredeter"/>
    <w:link w:val="Textonotaalfinal"/>
    <w:uiPriority w:val="99"/>
    <w:rsid w:val="00D97483"/>
    <w:rPr>
      <w:rFonts w:ascii="Times New Roman" w:cs="Times New Roman" w:eastAsia="Times New Roman" w:hAnsi="Times New Roman"/>
      <w:kern w:val="1"/>
      <w:sz w:val="20"/>
      <w:szCs w:val="20"/>
      <w:lang w:eastAsia="ar-SA"/>
    </w:rPr>
  </w:style>
  <w:style w:type="character" w:styleId="Refdenotaalfinal">
    <w:name w:val="endnote reference"/>
    <w:basedOn w:val="Fuentedeprrafopredeter"/>
    <w:uiPriority w:val="99"/>
    <w:semiHidden w:val="1"/>
    <w:unhideWhenUsed w:val="1"/>
    <w:rsid w:val="00D97483"/>
    <w:rPr>
      <w:vertAlign w:val="superscript"/>
    </w:rPr>
  </w:style>
  <w:style w:type="paragraph" w:styleId="Prrafodelista">
    <w:name w:val="List Paragraph"/>
    <w:basedOn w:val="Normal"/>
    <w:uiPriority w:val="34"/>
    <w:qFormat w:val="1"/>
    <w:rsid w:val="00446472"/>
    <w:pPr>
      <w:ind w:left="720"/>
      <w:contextualSpacing w:val="1"/>
    </w:pPr>
  </w:style>
  <w:style w:type="paragraph" w:styleId="Encabezado">
    <w:name w:val="header"/>
    <w:basedOn w:val="Normal"/>
    <w:link w:val="EncabezadoCar"/>
    <w:uiPriority w:val="99"/>
    <w:unhideWhenUsed w:val="1"/>
    <w:rsid w:val="00A906AA"/>
    <w:pPr>
      <w:tabs>
        <w:tab w:val="center" w:pos="4536"/>
        <w:tab w:val="right" w:pos="9072"/>
      </w:tabs>
    </w:pPr>
  </w:style>
  <w:style w:type="character" w:styleId="EncabezadoCar" w:customStyle="1">
    <w:name w:val="Encabezado Car"/>
    <w:basedOn w:val="Fuentedeprrafopredeter"/>
    <w:link w:val="Encabezado"/>
    <w:uiPriority w:val="99"/>
    <w:rsid w:val="00A906AA"/>
    <w:rPr>
      <w:rFonts w:ascii="Times New Roman" w:cs="Times New Roman" w:eastAsia="Times New Roman" w:hAnsi="Times New Roman"/>
      <w:kern w:val="1"/>
      <w:sz w:val="24"/>
      <w:szCs w:val="24"/>
      <w:lang w:eastAsia="ar-SA"/>
    </w:rPr>
  </w:style>
  <w:style w:type="paragraph" w:styleId="Piedepgina">
    <w:name w:val="footer"/>
    <w:basedOn w:val="Normal"/>
    <w:link w:val="PiedepginaCar"/>
    <w:uiPriority w:val="99"/>
    <w:unhideWhenUsed w:val="1"/>
    <w:rsid w:val="00A906AA"/>
    <w:pPr>
      <w:tabs>
        <w:tab w:val="center" w:pos="4536"/>
        <w:tab w:val="right" w:pos="9072"/>
      </w:tabs>
    </w:pPr>
  </w:style>
  <w:style w:type="character" w:styleId="PiedepginaCar" w:customStyle="1">
    <w:name w:val="Pie de página Car"/>
    <w:basedOn w:val="Fuentedeprrafopredeter"/>
    <w:link w:val="Piedepgina"/>
    <w:uiPriority w:val="99"/>
    <w:rsid w:val="00A906AA"/>
    <w:rPr>
      <w:rFonts w:ascii="Times New Roman" w:cs="Times New Roman" w:eastAsia="Times New Roman" w:hAnsi="Times New Roman"/>
      <w:kern w:val="1"/>
      <w:sz w:val="24"/>
      <w:szCs w:val="24"/>
      <w:lang w:eastAsia="ar-SA"/>
    </w:rPr>
  </w:style>
  <w:style w:type="table" w:styleId="Tablaconcuadrcula">
    <w:name w:val="Table Grid"/>
    <w:basedOn w:val="Tablanormal"/>
    <w:uiPriority w:val="59"/>
    <w:rsid w:val="008815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xmsonormal" w:customStyle="1">
    <w:name w:val="x_xmsonormal"/>
    <w:basedOn w:val="Normal"/>
    <w:rsid w:val="0031068D"/>
    <w:pPr>
      <w:suppressAutoHyphens w:val="0"/>
    </w:pPr>
    <w:rPr>
      <w:rFonts w:ascii="Calibri" w:cs="Calibri" w:hAnsi="Calibri" w:eastAsiaTheme="minorHAnsi"/>
      <w:kern w:val="0"/>
      <w:lang w:eastAsia="de-DE"/>
    </w:rPr>
  </w:style>
  <w:style w:type="paragraph" w:styleId="xxstandard1" w:customStyle="1">
    <w:name w:val="x_xstandard1"/>
    <w:basedOn w:val="Normal"/>
    <w:rsid w:val="0031068D"/>
    <w:pPr>
      <w:suppressAutoHyphens w:val="0"/>
    </w:pPr>
    <w:rPr>
      <w:rFonts w:eastAsiaTheme="minorHAnsi"/>
      <w:kern w:val="0"/>
      <w:lang w:eastAsia="de-DE"/>
    </w:rPr>
  </w:style>
  <w:style w:type="character" w:styleId="Mencinsinresolver">
    <w:name w:val="Unresolved Mention"/>
    <w:basedOn w:val="Fuentedeprrafopredeter"/>
    <w:uiPriority w:val="99"/>
    <w:semiHidden w:val="1"/>
    <w:unhideWhenUsed w:val="1"/>
    <w:rsid w:val="003B409F"/>
    <w:rPr>
      <w:color w:val="605e5c"/>
      <w:shd w:color="auto" w:fill="e1dfdd" w:val="clear"/>
    </w:rPr>
  </w:style>
  <w:style w:type="character" w:styleId="Mencionar">
    <w:name w:val="Mention"/>
    <w:basedOn w:val="Fuentedeprrafopredeter"/>
    <w:uiPriority w:val="99"/>
    <w:unhideWhenUsed w:val="1"/>
    <w:rsid w:val="0045119F"/>
    <w:rPr>
      <w:color w:val="2b579a"/>
      <w:shd w:color="auto" w:fill="e1dfdd" w:val="clear"/>
    </w:rPr>
  </w:style>
  <w:style w:type="paragraph" w:styleId="paragraph" w:customStyle="1">
    <w:name w:val="paragraph"/>
    <w:basedOn w:val="Normal"/>
    <w:rsid w:val="002C14C0"/>
    <w:pPr>
      <w:suppressAutoHyphens w:val="0"/>
      <w:spacing w:after="100" w:afterAutospacing="1" w:before="100" w:beforeAutospacing="1" w:line="240" w:lineRule="auto"/>
    </w:pPr>
    <w:rPr>
      <w:rFonts w:ascii="Times New Roman" w:cs="Times New Roman" w:hAnsi="Times New Roman"/>
      <w:kern w:val="0"/>
      <w:sz w:val="24"/>
      <w:szCs w:val="24"/>
      <w:lang w:eastAsia="zh-TW" w:val="de-DE"/>
    </w:rPr>
  </w:style>
  <w:style w:type="character" w:styleId="normaltextrun" w:customStyle="1">
    <w:name w:val="normaltextrun"/>
    <w:basedOn w:val="Fuentedeprrafopredeter"/>
    <w:rsid w:val="002C14C0"/>
  </w:style>
  <w:style w:type="character" w:styleId="eop" w:customStyle="1">
    <w:name w:val="eop"/>
    <w:basedOn w:val="Fuentedeprrafopredeter"/>
    <w:rsid w:val="002C14C0"/>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congatec.com/" TargetMode="External"/><Relationship Id="rId22" Type="http://schemas.openxmlformats.org/officeDocument/2006/relationships/footer" Target="footer3.xml"/><Relationship Id="rId10" Type="http://schemas.openxmlformats.org/officeDocument/2006/relationships/hyperlink" Target="https://www.congatec.com/en/technologies/smarc/" TargetMode="External"/><Relationship Id="rId21" Type="http://schemas.openxmlformats.org/officeDocument/2006/relationships/footer" Target="footer2.xml"/><Relationship Id="rId13" Type="http://schemas.openxmlformats.org/officeDocument/2006/relationships/hyperlink" Target="https://twitter.com/congatecAG" TargetMode="External"/><Relationship Id="rId12" Type="http://schemas.openxmlformats.org/officeDocument/2006/relationships/hyperlink" Target="https://www.linkedin.com/company/congatec/"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products/smarc/conga-smx95/" TargetMode="External"/><Relationship Id="rId15" Type="http://schemas.openxmlformats.org/officeDocument/2006/relationships/hyperlink" Target="https://www.congatec.com/es/congatec/notas-de-prensa.html" TargetMode="External"/><Relationship Id="rId14" Type="http://schemas.openxmlformats.org/officeDocument/2006/relationships/hyperlink" Target="https://www.youtube.com/user/congatecAE" TargetMode="External"/><Relationship Id="rId17" Type="http://schemas.openxmlformats.org/officeDocument/2006/relationships/hyperlink" Target="mailto:julia.wolff@publitek.com" TargetMode="External"/><Relationship Id="rId16" Type="http://schemas.openxmlformats.org/officeDocument/2006/relationships/hyperlink" Target="http://www.congatec.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F92vjJ2VADOPpBfHct3PpfgrOw==">CgMxLjA4AHIhMXBfQk5ZazBBdkFDUGFrTm5ydnYwb0EwcTdZUFNTaTJH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2024-07-09T09:21:00Z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03a8089aece4ff3ced5d8dab3ab4794fb7188eeb8e267c848c2bbe27dced519b</vt:lpwstr>
  </property>
</Properties>
</file>