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Pressemitteilung</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-366938</wp:posOffset>
            </wp:positionV>
            <wp:extent cx="1145330" cy="901243"/>
            <wp:effectExtent b="0" l="0" r="0" t="0"/>
            <wp:wrapNone/>
            <wp:docPr descr="Congatec_Standardlogo_RGB.jpg" id="1032"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congatec präsentiert neue SMARC Module auf Basis der NXP i.MX 95 Prozessorserie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congatec Module setzen neue Maßstäbe für sichere KI-Appli</w:t>
      </w:r>
      <w:r w:rsidDel="00000000" w:rsidR="00000000" w:rsidRPr="00000000">
        <w:rPr>
          <w:b w:val="1"/>
          <w:sz w:val="36"/>
          <w:szCs w:val="36"/>
          <w:rtl w:val="0"/>
        </w:rPr>
        <w:t xml:space="preserve">ka</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tionen am Edge</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drawing>
          <wp:inline distB="0" distT="0" distL="0" distR="0">
            <wp:extent cx="5760720" cy="3510915"/>
            <wp:effectExtent b="0" l="0" r="0" t="0"/>
            <wp:docPr descr="A green circuit board with many small chips&#10;&#10;Description automatically generated" id="1031" name="image2.jpg"/>
            <a:graphic>
              <a:graphicData uri="http://schemas.openxmlformats.org/drawingml/2006/picture">
                <pic:pic>
                  <pic:nvPicPr>
                    <pic:cNvPr descr="A green circuit board with many small chips&#10;&#10;Description automatically generated" id="0" name="image2.jpg"/>
                    <pic:cNvPicPr preferRelativeResize="0"/>
                  </pic:nvPicPr>
                  <pic:blipFill>
                    <a:blip r:embed="rId8"/>
                    <a:srcRect b="4279" l="0" r="0" t="4279"/>
                    <a:stretch>
                      <a:fillRect/>
                    </a:stretch>
                  </pic:blipFill>
                  <pic:spPr>
                    <a:xfrm>
                      <a:off x="0" y="0"/>
                      <a:ext cx="5760720" cy="351091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pPr>
      <w:r w:rsidDel="00000000" w:rsidR="00000000" w:rsidRPr="00000000">
        <w:rPr>
          <w:b w:val="1"/>
          <w:rtl w:val="0"/>
        </w:rPr>
        <w:t xml:space="preserve">Deggendorf, 9. Juli 2024 * * *</w:t>
      </w:r>
      <w:r w:rsidDel="00000000" w:rsidR="00000000" w:rsidRPr="00000000">
        <w:rPr>
          <w:rtl w:val="0"/>
        </w:rPr>
        <w:t xml:space="preserve"> congatec – ein führender Anbieter von Embedded- und Edge-Computer-Technologie – stellt neue leistungsstarke Computer-on-Modules (COMs) mit i.MX 95 Prozessoren von NXP vor und erweitert damit sein umfangreiches Modulportfolio mit low-power NXP i.MX Arm-Prozessoren. congatec unterstreicht damit seine starke Partnerschaft mit NXP. Kunden profitieren von einer einfachen Skalierbarkeit und zuverlässigen Upgrade-Pfaden für bestehende und neue energieeffiziente Edge-KI-Applikationen mit hohen Sicherheitsanforderungen.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Die neuen Module zeichnen sich in diesen Anwendungen durch eine bis zu dreifache GFLOPS-Rechenleistung gegenüber der Vorgängergeneration mit i.MX8 M Plus Prozessoren aus. Die neue Neural Processing Unit von NXP namens 'eIQ Neutron' verdoppelt die Inferenz-Performance für KI beschleunigte Machine-Vision. Die hardwareintegrierte </w:t>
      </w:r>
      <w:r w:rsidDel="00000000" w:rsidR="00000000" w:rsidRPr="00000000">
        <w:rPr>
          <w:color w:val="000000"/>
          <w:rtl w:val="0"/>
        </w:rPr>
        <w:t xml:space="preserve">EdgeLock</w:t>
      </w:r>
      <w:r w:rsidDel="00000000" w:rsidR="00000000" w:rsidRPr="00000000">
        <w:rPr>
          <w:color w:val="000000"/>
          <w:vertAlign w:val="superscript"/>
          <w:rtl w:val="0"/>
        </w:rPr>
        <w:t xml:space="preserve">®</w:t>
      </w:r>
      <w:r w:rsidDel="00000000" w:rsidR="00000000" w:rsidRPr="00000000">
        <w:rPr>
          <w:color w:val="000000"/>
          <w:rtl w:val="0"/>
        </w:rPr>
        <w:t xml:space="preserve"> Secure Enclave vereinfacht zudem die Umsetzung eigener </w:t>
      </w:r>
      <w:r w:rsidDel="00000000" w:rsidR="00000000" w:rsidRPr="00000000">
        <w:rPr>
          <w:rtl w:val="0"/>
        </w:rPr>
        <w:t xml:space="preserve">Cyber-Sicherheitsmaßnahmen.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Die neuen SMARC-Module conga-SMX95 sind ausgelegt auf den industriellen Temperaturbereich von -40 °C bis +85 °C, sind mechanisch robust und optimiert auf kosten- und energieeffiziente Applikationen. Die integrierte leistungsfähige eIQ Neutron NPU ermöglicht es KI beschleunigte Workloads noch näher auf der lokalen Geräte-Ebene auszuführen. Anwendungsfälle für die neuen SMARC Module finden sich in KI-beschleunigten Low-Power Applikationen in Branchen wie der industriellen Produktion, Machine Vision und Visual Inspection, Rugged-HMIs, 3D-Drucker, Robotik-Steuerungen in AMR und AGV sowie Medical Imaging und Patienten-Monitoring-Systemen. Auch Passenger Seatback Entertainment in Bussen und Flugzeugen sowie Fleet-Management in Transportation, Construction und Farming Applikationen zählen zu den Zielanwendungen.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Das Featureset im Detail</w:t>
      </w:r>
    </w:p>
    <w:p w:rsidR="00000000" w:rsidDel="00000000" w:rsidP="00000000" w:rsidRDefault="00000000" w:rsidRPr="00000000" w14:paraId="00000011">
      <w:pPr>
        <w:rPr/>
      </w:pPr>
      <w:r w:rsidDel="00000000" w:rsidR="00000000" w:rsidRPr="00000000">
        <w:rPr>
          <w:rtl w:val="0"/>
        </w:rPr>
        <w:t xml:space="preserve">Die neuen conga-SMX95 SMARC 2.1 Module basieren auf der nächsten Generation der NXP i.MX 95 Applikationsprozessoren mit 4-6 Arm Cortex-A55 Cores. Erstmals setzt NXP auf die neue Arm Mali 3D-Grafikeinheit, welche eine bis zu dreifache GPU Performance liefert im Vergleich zu den i. MX8 M Plus basierten Vorgängern. Ebenfalls neu ist der Image-Signalprozessor (ISP) für die hardwarebeschleunigte Bildverarbeitung. Besonders hervorzuheben ist in den neuen SMARC-Modulen die NXP eIQ Neutron NPU für hardwarebeschleunigte KI-Inferenz und Machine Learning (ML) am Edge. Die korrespondierenden Software-Entwicklungsumgebung eIQ® von NXP bietet OEMs eine leistungsfähige Entwicklungsumgebung, die die Umsetzung eigener ML-Anwendungen vereinfacht.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Des Weiteren integrieren die neuen SMARC-Module eine Real-Time-Domain für Echtzeit-Steuerungen. Die conga-SMX95 SMARC Module bieten 2x Gbit Ethernet mit TSN für eine synchronisierte und deterministische Netzwerk-Datenübertragung, LPDDR5 (mit Inline ECC) für Datensicherheit. Für die Displayanbindung bieten die neuen Module DisplayPort als Standard-Interface und das immer noch verbreitete LVDS Display Interface. Für direkte Kamera-Anbindung verfügen die Module über 2x MIPI-CSI.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congatec bietet darüber hinaus ein umfangreiches Hard- und Software-Ecosystem sowie umfangreiche Design-In-Services, die die Applikationsentwicklung vereinfachen und beschleunigen. Dazu zählen unter anderem Evaluierungs- sowie serientaugliche Application-Carrierboards und maßgeschneiderte Kühllösungen. An Services bietet congatec umfangreiche Dokumentationen, Schulungen und Signalintegritäts-Messungen für die Applikationsentwicklung.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Weitere Informationen zu den neuen conga-SMX95 SMARC Modulen finden Sie unter </w:t>
      </w:r>
      <w:hyperlink r:id="rId9">
        <w:r w:rsidDel="00000000" w:rsidR="00000000" w:rsidRPr="00000000">
          <w:rPr>
            <w:color w:val="0000ff"/>
            <w:u w:val="single"/>
            <w:rtl w:val="0"/>
          </w:rPr>
          <w:t xml:space="preserve">https://www.congatec.com/de/produkte/smarc/conga-SMX95/</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Weitere Informationen zum SMARC Module Standard finden Sie unter: </w:t>
      </w:r>
      <w:hyperlink r:id="rId10">
        <w:r w:rsidDel="00000000" w:rsidR="00000000" w:rsidRPr="00000000">
          <w:rPr>
            <w:color w:val="0000ff"/>
            <w:u w:val="single"/>
            <w:rtl w:val="0"/>
          </w:rPr>
          <w:t xml:space="preserve">https://www.congatec.com/de/technologien/smarc/</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1F">
      <w:pPr>
        <w:spacing w:line="240" w:lineRule="auto"/>
        <w:rPr>
          <w:b w:val="1"/>
          <w:sz w:val="18"/>
          <w:szCs w:val="18"/>
        </w:rPr>
      </w:pPr>
      <w:r w:rsidDel="00000000" w:rsidR="00000000" w:rsidRPr="00000000">
        <w:rPr>
          <w:b w:val="1"/>
          <w:sz w:val="18"/>
          <w:szCs w:val="18"/>
          <w:rtl w:val="0"/>
        </w:rPr>
        <w:t xml:space="preserve">Über congatec</w:t>
      </w:r>
    </w:p>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1">
        <w:r w:rsidDel="00000000" w:rsidR="00000000" w:rsidRPr="00000000">
          <w:rPr>
            <w:color w:val="0000ff"/>
            <w:sz w:val="18"/>
            <w:szCs w:val="18"/>
            <w:u w:val="single"/>
            <w:rtl w:val="0"/>
          </w:rPr>
          <w:t xml:space="preserve">www.congatec.de</w:t>
        </w:r>
      </w:hyperlink>
      <w:r w:rsidDel="00000000" w:rsidR="00000000" w:rsidRPr="00000000">
        <w:rPr>
          <w:sz w:val="18"/>
          <w:szCs w:val="18"/>
          <w:rtl w:val="0"/>
        </w:rPr>
        <w:t xml:space="preserve"> oder bei </w:t>
      </w:r>
      <w:hyperlink r:id="rId12">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und </w:t>
      </w:r>
      <w:hyperlink r:id="rId14">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21">
      <w:pPr>
        <w:spacing w:line="240" w:lineRule="auto"/>
        <w:rPr>
          <w:sz w:val="16"/>
          <w:szCs w:val="1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color w:val="000000"/>
          <w:sz w:val="16"/>
          <w:szCs w:val="16"/>
          <w:rtl w:val="0"/>
        </w:rPr>
        <w:t xml:space="preserve">Intel, das Intel Logo und andere Intel Marken sind Handelsmarken der Intel Corporation oder ihrer Tochtergesellschaften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Leserkontakt:</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+49-991-2700-0</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hyperlink r:id="rId15">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congatec:</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Christof Wilde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+49-991-2700-2822</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Agentur:</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color w:val="000000"/>
        </w:rPr>
      </w:pPr>
      <w:hyperlink r:id="rId16">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Bitte senden Sie Beleghefte an:</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Diana Penzien</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color w:val="000000"/>
          <w:rtl w:val="0"/>
        </w:rPr>
        <w:t xml:space="preserve">21244 Buchholz</w:t>
      </w:r>
      <w:r w:rsidDel="00000000" w:rsidR="00000000" w:rsidRPr="00000000">
        <w:rPr>
          <w:rtl w:val="0"/>
        </w:rPr>
      </w:r>
    </w:p>
    <w:sectPr>
      <w:headerReference r:id="rId17" w:type="default"/>
      <w:headerReference r:id="rId18" w:type="first"/>
      <w:footerReference r:id="rId19" w:type="default"/>
      <w:footerReference r:id="rId20" w:type="firs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115" w:firstLine="0"/>
            <w:rPr>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de-DE"/>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750178"/>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5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 w:customStyle="1">
    <w:name w:val="Table Normal1"/>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congatec.com/de/" TargetMode="External"/><Relationship Id="rId10" Type="http://schemas.openxmlformats.org/officeDocument/2006/relationships/hyperlink" Target="https://www.congatec.com/de/technologien/smarc/" TargetMode="External"/><Relationship Id="rId13" Type="http://schemas.openxmlformats.org/officeDocument/2006/relationships/hyperlink" Target="https://twitter.com/congatecAG"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de/produkte/smarc/conga-SMX95/" TargetMode="External"/><Relationship Id="rId15" Type="http://schemas.openxmlformats.org/officeDocument/2006/relationships/hyperlink" Target="http://www.congatec.com" TargetMode="External"/><Relationship Id="rId14" Type="http://schemas.openxmlformats.org/officeDocument/2006/relationships/hyperlink" Target="https://www.youtube.com/congatecAE" TargetMode="External"/><Relationship Id="rId17" Type="http://schemas.openxmlformats.org/officeDocument/2006/relationships/header" Target="header1.xml"/><Relationship Id="rId16" Type="http://schemas.openxmlformats.org/officeDocument/2006/relationships/hyperlink" Target="mailto:julia.wolff@publitek.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j4jxap2R6L1cd3D2HpvcOze4A==">CgMxLjA4AHIhMWJsa0pKODgtOHEtMXJNaXRwU0pRUGl3VzFsT2pqWFFY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2024-06-27T11:22:00Z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ies>
</file>